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7C1" w:rsidRPr="001E4814" w:rsidRDefault="00B02637" w:rsidP="00FC57C1">
      <w:pPr>
        <w:jc w:val="center"/>
        <w:rPr>
          <w:rFonts w:cs="ArialMT"/>
          <w:b/>
          <w:sz w:val="22"/>
          <w:szCs w:val="22"/>
        </w:rPr>
      </w:pPr>
      <w:bookmarkStart w:id="0" w:name="_GoBack"/>
      <w:bookmarkEnd w:id="0"/>
      <w:r w:rsidRPr="001E4814">
        <w:rPr>
          <w:rFonts w:cs="ArialMT"/>
          <w:b/>
          <w:sz w:val="22"/>
          <w:szCs w:val="22"/>
        </w:rPr>
        <w:t xml:space="preserve">  </w:t>
      </w:r>
    </w:p>
    <w:p w:rsidR="00446B2A" w:rsidRPr="001E4814" w:rsidRDefault="00446B2A" w:rsidP="00FC57C1">
      <w:pPr>
        <w:jc w:val="center"/>
        <w:rPr>
          <w:rFonts w:cs="ArialMT"/>
          <w:b/>
          <w:sz w:val="22"/>
          <w:szCs w:val="22"/>
        </w:rPr>
      </w:pPr>
    </w:p>
    <w:p w:rsidR="00446B2A" w:rsidRPr="001E4814" w:rsidRDefault="00446B2A" w:rsidP="00FC57C1">
      <w:pPr>
        <w:jc w:val="center"/>
        <w:rPr>
          <w:rFonts w:cs="ArialMT"/>
          <w:b/>
        </w:rPr>
      </w:pPr>
    </w:p>
    <w:p w:rsidR="00B55FD0" w:rsidRPr="001E4814" w:rsidRDefault="00B55FD0" w:rsidP="00FC57C1">
      <w:pPr>
        <w:jc w:val="center"/>
        <w:rPr>
          <w:rFonts w:cs="ArialMT"/>
          <w:b/>
        </w:rPr>
      </w:pPr>
      <w:r w:rsidRPr="001E4814">
        <w:rPr>
          <w:rFonts w:cs="ArialMT"/>
          <w:b/>
        </w:rPr>
        <w:t xml:space="preserve">AJ Drexel </w:t>
      </w:r>
      <w:r w:rsidR="00FC57C1" w:rsidRPr="001E4814">
        <w:rPr>
          <w:rFonts w:cs="ArialMT"/>
          <w:b/>
        </w:rPr>
        <w:t xml:space="preserve">Institute </w:t>
      </w:r>
    </w:p>
    <w:p w:rsidR="00B55FD0" w:rsidRPr="001E4814" w:rsidRDefault="00FC57C1" w:rsidP="00FC57C1">
      <w:pPr>
        <w:jc w:val="center"/>
        <w:rPr>
          <w:rFonts w:cs="ArialMT"/>
          <w:b/>
        </w:rPr>
      </w:pPr>
      <w:proofErr w:type="gramStart"/>
      <w:r w:rsidRPr="001E4814">
        <w:rPr>
          <w:rFonts w:cs="ArialMT"/>
          <w:b/>
        </w:rPr>
        <w:t>for</w:t>
      </w:r>
      <w:proofErr w:type="gramEnd"/>
      <w:r w:rsidRPr="001E4814">
        <w:rPr>
          <w:rFonts w:cs="ArialMT"/>
          <w:b/>
        </w:rPr>
        <w:t xml:space="preserve"> </w:t>
      </w:r>
    </w:p>
    <w:p w:rsidR="00446B2A" w:rsidRPr="001E4814" w:rsidRDefault="00FC57C1" w:rsidP="00FC57C1">
      <w:pPr>
        <w:jc w:val="center"/>
        <w:rPr>
          <w:rFonts w:cs="ArialMT"/>
          <w:b/>
        </w:rPr>
      </w:pPr>
      <w:r w:rsidRPr="001E4814">
        <w:rPr>
          <w:rFonts w:cs="ArialMT"/>
          <w:b/>
        </w:rPr>
        <w:t>Energy and the Environment</w:t>
      </w:r>
    </w:p>
    <w:p w:rsidR="003C5A08" w:rsidRPr="001E4814" w:rsidRDefault="003C5A08" w:rsidP="00B74201">
      <w:pPr>
        <w:rPr>
          <w:rFonts w:cs="ArialMT"/>
          <w:b/>
        </w:rPr>
      </w:pPr>
    </w:p>
    <w:p w:rsidR="003C5A08" w:rsidRPr="001E4814" w:rsidRDefault="003C5A08" w:rsidP="00FC57C1">
      <w:pPr>
        <w:jc w:val="center"/>
        <w:rPr>
          <w:rFonts w:cs="ArialMT"/>
          <w:b/>
        </w:rPr>
      </w:pPr>
    </w:p>
    <w:p w:rsidR="00FC57C1" w:rsidRPr="001E4814" w:rsidRDefault="00EE2FAE" w:rsidP="00FC57C1">
      <w:pPr>
        <w:jc w:val="center"/>
        <w:rPr>
          <w:rFonts w:cs="ArialMT"/>
          <w:b/>
          <w:sz w:val="22"/>
          <w:szCs w:val="22"/>
        </w:rPr>
      </w:pPr>
      <w:r>
        <w:rPr>
          <w:rFonts w:cs="ArialMT"/>
          <w:b/>
          <w:sz w:val="22"/>
          <w:szCs w:val="22"/>
        </w:rPr>
        <w:t xml:space="preserve">October </w:t>
      </w:r>
      <w:r w:rsidR="00C206D3">
        <w:rPr>
          <w:rFonts w:cs="ArialMT"/>
          <w:b/>
          <w:sz w:val="22"/>
          <w:szCs w:val="22"/>
        </w:rPr>
        <w:t>1</w:t>
      </w:r>
      <w:r w:rsidR="00FF7218">
        <w:rPr>
          <w:rFonts w:cs="ArialMT"/>
          <w:b/>
          <w:sz w:val="22"/>
          <w:szCs w:val="22"/>
        </w:rPr>
        <w:t>7</w:t>
      </w:r>
      <w:r w:rsidR="00446B2A" w:rsidRPr="001E4814">
        <w:rPr>
          <w:rFonts w:cs="ArialMT"/>
          <w:b/>
          <w:sz w:val="22"/>
          <w:szCs w:val="22"/>
        </w:rPr>
        <w:t>, 2013</w:t>
      </w:r>
    </w:p>
    <w:p w:rsidR="00FC57C1" w:rsidRPr="001E4814" w:rsidRDefault="00FC57C1" w:rsidP="00B50B38">
      <w:pPr>
        <w:rPr>
          <w:rFonts w:cs="ArialMT"/>
          <w:b/>
          <w:sz w:val="22"/>
          <w:szCs w:val="22"/>
        </w:rPr>
      </w:pPr>
    </w:p>
    <w:p w:rsidR="00FC57C1" w:rsidRPr="001E4814" w:rsidRDefault="00FC57C1" w:rsidP="00B50B38">
      <w:pPr>
        <w:rPr>
          <w:rFonts w:cs="ArialMT"/>
          <w:b/>
          <w:sz w:val="22"/>
          <w:szCs w:val="22"/>
        </w:rPr>
      </w:pPr>
    </w:p>
    <w:p w:rsidR="00B50B38" w:rsidRPr="001E4814" w:rsidRDefault="00B74201" w:rsidP="00662ECC">
      <w:pPr>
        <w:pStyle w:val="ListParagraph"/>
        <w:numPr>
          <w:ilvl w:val="0"/>
          <w:numId w:val="30"/>
        </w:numPr>
        <w:ind w:left="720"/>
        <w:rPr>
          <w:rFonts w:cs="ArialMT"/>
          <w:b/>
        </w:rPr>
      </w:pPr>
      <w:r>
        <w:rPr>
          <w:rFonts w:cs="ArialMT"/>
          <w:b/>
        </w:rPr>
        <w:t>Preamble</w:t>
      </w:r>
    </w:p>
    <w:p w:rsidR="00945511" w:rsidRDefault="00945511" w:rsidP="00945511">
      <w:pPr>
        <w:jc w:val="both"/>
        <w:rPr>
          <w:sz w:val="22"/>
          <w:szCs w:val="22"/>
        </w:rPr>
      </w:pPr>
    </w:p>
    <w:p w:rsidR="00945511" w:rsidRDefault="00945511" w:rsidP="00945511">
      <w:pPr>
        <w:jc w:val="both"/>
        <w:rPr>
          <w:rFonts w:cs="TimesNewRomanPSMT"/>
          <w:sz w:val="22"/>
          <w:szCs w:val="22"/>
        </w:rPr>
      </w:pPr>
      <w:r w:rsidRPr="00945511">
        <w:rPr>
          <w:sz w:val="22"/>
          <w:szCs w:val="22"/>
        </w:rPr>
        <w:t xml:space="preserve">In 1859, the Drake Well in Northwestern Pennsylvania sparked the first oil boom in the US, and established the Commonwealth as an energy state.  Almost two hundred years later, </w:t>
      </w:r>
      <w:r w:rsidR="00A52E26">
        <w:rPr>
          <w:sz w:val="22"/>
          <w:szCs w:val="22"/>
        </w:rPr>
        <w:t>the Commonwealth</w:t>
      </w:r>
      <w:r w:rsidRPr="00945511">
        <w:rPr>
          <w:sz w:val="22"/>
          <w:szCs w:val="22"/>
        </w:rPr>
        <w:t xml:space="preserve"> finds itself with one of the largest shale gas plays in the country, </w:t>
      </w:r>
      <w:r w:rsidR="00587150">
        <w:rPr>
          <w:sz w:val="22"/>
          <w:szCs w:val="22"/>
        </w:rPr>
        <w:t xml:space="preserve">and </w:t>
      </w:r>
      <w:r w:rsidR="00A52E26">
        <w:rPr>
          <w:sz w:val="22"/>
          <w:szCs w:val="22"/>
        </w:rPr>
        <w:t>PA</w:t>
      </w:r>
      <w:r w:rsidR="00587150">
        <w:rPr>
          <w:sz w:val="22"/>
          <w:szCs w:val="22"/>
        </w:rPr>
        <w:t xml:space="preserve"> citizens are contemplating a future in which energy </w:t>
      </w:r>
      <w:r w:rsidR="00A52E26">
        <w:rPr>
          <w:sz w:val="22"/>
          <w:szCs w:val="22"/>
        </w:rPr>
        <w:t>is likely to</w:t>
      </w:r>
      <w:r w:rsidR="00587150">
        <w:rPr>
          <w:sz w:val="22"/>
          <w:szCs w:val="22"/>
        </w:rPr>
        <w:t xml:space="preserve"> </w:t>
      </w:r>
      <w:r w:rsidR="00A52E26">
        <w:rPr>
          <w:sz w:val="22"/>
          <w:szCs w:val="22"/>
        </w:rPr>
        <w:t xml:space="preserve">have a </w:t>
      </w:r>
      <w:r w:rsidR="007D75CB">
        <w:rPr>
          <w:sz w:val="22"/>
          <w:szCs w:val="22"/>
        </w:rPr>
        <w:t>growing</w:t>
      </w:r>
      <w:r w:rsidR="00A52E26">
        <w:rPr>
          <w:sz w:val="22"/>
          <w:szCs w:val="22"/>
        </w:rPr>
        <w:t xml:space="preserve"> impact on the </w:t>
      </w:r>
      <w:r w:rsidR="00637CE2">
        <w:rPr>
          <w:sz w:val="22"/>
          <w:szCs w:val="22"/>
        </w:rPr>
        <w:t xml:space="preserve">regional </w:t>
      </w:r>
      <w:r w:rsidR="00587150">
        <w:rPr>
          <w:sz w:val="22"/>
          <w:szCs w:val="22"/>
        </w:rPr>
        <w:t>economy</w:t>
      </w:r>
      <w:r w:rsidR="007D75CB">
        <w:rPr>
          <w:sz w:val="22"/>
          <w:szCs w:val="22"/>
        </w:rPr>
        <w:t xml:space="preserve"> and quality of life</w:t>
      </w:r>
      <w:r w:rsidRPr="00945511">
        <w:rPr>
          <w:sz w:val="22"/>
          <w:szCs w:val="22"/>
        </w:rPr>
        <w:t xml:space="preserve">.  </w:t>
      </w:r>
    </w:p>
    <w:p w:rsidR="00D75E22" w:rsidRPr="00945511" w:rsidRDefault="00D75E22" w:rsidP="00945511">
      <w:pPr>
        <w:jc w:val="both"/>
        <w:rPr>
          <w:sz w:val="22"/>
          <w:szCs w:val="22"/>
        </w:rPr>
      </w:pPr>
    </w:p>
    <w:p w:rsidR="00945511" w:rsidRDefault="00945511" w:rsidP="00945511">
      <w:pPr>
        <w:jc w:val="both"/>
        <w:rPr>
          <w:sz w:val="22"/>
          <w:szCs w:val="22"/>
        </w:rPr>
      </w:pPr>
      <w:r w:rsidRPr="00945511">
        <w:rPr>
          <w:sz w:val="22"/>
          <w:szCs w:val="22"/>
        </w:rPr>
        <w:t xml:space="preserve">Pennsylvania is not the only state </w:t>
      </w:r>
      <w:r w:rsidR="00637CE2">
        <w:rPr>
          <w:sz w:val="22"/>
          <w:szCs w:val="22"/>
        </w:rPr>
        <w:t>with an</w:t>
      </w:r>
      <w:r w:rsidR="007D75CB">
        <w:rPr>
          <w:sz w:val="22"/>
          <w:szCs w:val="22"/>
        </w:rPr>
        <w:t xml:space="preserve"> abundance of </w:t>
      </w:r>
      <w:r w:rsidRPr="00945511">
        <w:rPr>
          <w:sz w:val="22"/>
          <w:szCs w:val="22"/>
        </w:rPr>
        <w:t xml:space="preserve">shale gas.  With a number of significant shale plays also identified in other regions of the country, the US is contemplating the consequences and opportunities associated with long-term energy </w:t>
      </w:r>
      <w:r w:rsidR="00587150">
        <w:rPr>
          <w:sz w:val="22"/>
          <w:szCs w:val="22"/>
        </w:rPr>
        <w:t>security</w:t>
      </w:r>
      <w:r w:rsidRPr="00945511">
        <w:rPr>
          <w:sz w:val="22"/>
          <w:szCs w:val="22"/>
        </w:rPr>
        <w:t xml:space="preserve">.  </w:t>
      </w:r>
      <w:r w:rsidR="00587150">
        <w:rPr>
          <w:sz w:val="22"/>
          <w:szCs w:val="22"/>
        </w:rPr>
        <w:t>I</w:t>
      </w:r>
      <w:r w:rsidRPr="00945511">
        <w:rPr>
          <w:sz w:val="22"/>
          <w:szCs w:val="22"/>
        </w:rPr>
        <w:t>t is widely acknowledged that the vast quantities of newly accessible shale gas promise the benefits of long-term economic growth and a radically different geo-political landscape</w:t>
      </w:r>
      <w:r w:rsidR="00587150">
        <w:rPr>
          <w:sz w:val="22"/>
          <w:szCs w:val="22"/>
        </w:rPr>
        <w:t>.  At the same time, however, concerns have been raised</w:t>
      </w:r>
      <w:r w:rsidRPr="00945511">
        <w:rPr>
          <w:sz w:val="22"/>
          <w:szCs w:val="22"/>
        </w:rPr>
        <w:t xml:space="preserve"> that </w:t>
      </w:r>
      <w:r w:rsidR="00587150">
        <w:rPr>
          <w:sz w:val="22"/>
          <w:szCs w:val="22"/>
        </w:rPr>
        <w:t xml:space="preserve">recovery of </w:t>
      </w:r>
      <w:r w:rsidRPr="00945511">
        <w:rPr>
          <w:sz w:val="22"/>
          <w:szCs w:val="22"/>
        </w:rPr>
        <w:t xml:space="preserve">this </w:t>
      </w:r>
      <w:r w:rsidR="00587150">
        <w:rPr>
          <w:sz w:val="22"/>
          <w:szCs w:val="22"/>
        </w:rPr>
        <w:t xml:space="preserve">plentiful energy </w:t>
      </w:r>
      <w:r w:rsidRPr="00945511">
        <w:rPr>
          <w:sz w:val="22"/>
          <w:szCs w:val="22"/>
        </w:rPr>
        <w:t xml:space="preserve">source has the potential to limit the development and adoption of </w:t>
      </w:r>
      <w:r w:rsidR="00A52E26">
        <w:rPr>
          <w:sz w:val="22"/>
          <w:szCs w:val="22"/>
        </w:rPr>
        <w:t xml:space="preserve">alternative </w:t>
      </w:r>
      <w:r w:rsidRPr="00945511">
        <w:rPr>
          <w:sz w:val="22"/>
          <w:szCs w:val="22"/>
        </w:rPr>
        <w:t xml:space="preserve">zero-carbon energy paradigms, </w:t>
      </w:r>
      <w:r w:rsidR="00587150">
        <w:rPr>
          <w:sz w:val="22"/>
          <w:szCs w:val="22"/>
        </w:rPr>
        <w:t xml:space="preserve">leading to increased </w:t>
      </w:r>
      <w:r w:rsidRPr="00945511">
        <w:rPr>
          <w:sz w:val="22"/>
          <w:szCs w:val="22"/>
        </w:rPr>
        <w:t>CO</w:t>
      </w:r>
      <w:r w:rsidRPr="00945511">
        <w:rPr>
          <w:sz w:val="22"/>
          <w:szCs w:val="22"/>
          <w:vertAlign w:val="subscript"/>
        </w:rPr>
        <w:t>2</w:t>
      </w:r>
      <w:r w:rsidR="004561B3">
        <w:rPr>
          <w:sz w:val="22"/>
          <w:szCs w:val="22"/>
        </w:rPr>
        <w:t xml:space="preserve"> production and</w:t>
      </w:r>
      <w:r w:rsidRPr="00945511">
        <w:rPr>
          <w:sz w:val="22"/>
          <w:szCs w:val="22"/>
        </w:rPr>
        <w:t xml:space="preserve"> accelerated </w:t>
      </w:r>
      <w:r w:rsidR="00587150">
        <w:rPr>
          <w:sz w:val="22"/>
          <w:szCs w:val="22"/>
        </w:rPr>
        <w:t xml:space="preserve">global </w:t>
      </w:r>
      <w:r w:rsidRPr="00945511">
        <w:rPr>
          <w:sz w:val="22"/>
          <w:szCs w:val="22"/>
        </w:rPr>
        <w:t xml:space="preserve">climate change.    </w:t>
      </w:r>
    </w:p>
    <w:p w:rsidR="00EF6584" w:rsidRPr="00945511" w:rsidRDefault="00EF6584" w:rsidP="00945511">
      <w:pPr>
        <w:jc w:val="both"/>
        <w:rPr>
          <w:sz w:val="22"/>
          <w:szCs w:val="22"/>
        </w:rPr>
      </w:pPr>
    </w:p>
    <w:p w:rsidR="00945511" w:rsidRDefault="00945511" w:rsidP="00945511">
      <w:pPr>
        <w:jc w:val="both"/>
        <w:rPr>
          <w:sz w:val="22"/>
          <w:szCs w:val="22"/>
        </w:rPr>
      </w:pPr>
      <w:r w:rsidRPr="00945511">
        <w:rPr>
          <w:sz w:val="22"/>
          <w:szCs w:val="22"/>
        </w:rPr>
        <w:t xml:space="preserve">These changing circumstances reveal decision points that are likely to impact the future of the modern world – locally to globally.  We must balance our interests in leveraging new </w:t>
      </w:r>
      <w:r w:rsidR="00587150">
        <w:rPr>
          <w:sz w:val="22"/>
          <w:szCs w:val="22"/>
        </w:rPr>
        <w:t>energy</w:t>
      </w:r>
      <w:r w:rsidRPr="00945511">
        <w:rPr>
          <w:sz w:val="22"/>
          <w:szCs w:val="22"/>
        </w:rPr>
        <w:t xml:space="preserve"> resources that will drive economic growth and enhance national security, while at the same ti</w:t>
      </w:r>
      <w:r w:rsidR="00587150">
        <w:rPr>
          <w:sz w:val="22"/>
          <w:szCs w:val="22"/>
        </w:rPr>
        <w:t xml:space="preserve">me committing to reduce </w:t>
      </w:r>
      <w:r w:rsidR="00A52E26">
        <w:rPr>
          <w:sz w:val="22"/>
          <w:szCs w:val="22"/>
        </w:rPr>
        <w:t>the</w:t>
      </w:r>
      <w:r w:rsidRPr="00945511">
        <w:rPr>
          <w:sz w:val="22"/>
          <w:szCs w:val="22"/>
        </w:rPr>
        <w:t xml:space="preserve"> detrimental impact </w:t>
      </w:r>
      <w:r w:rsidR="007D75CB">
        <w:rPr>
          <w:sz w:val="22"/>
          <w:szCs w:val="22"/>
        </w:rPr>
        <w:t xml:space="preserve">of energy consumption </w:t>
      </w:r>
      <w:r w:rsidRPr="00945511">
        <w:rPr>
          <w:sz w:val="22"/>
          <w:szCs w:val="22"/>
        </w:rPr>
        <w:t xml:space="preserve">on </w:t>
      </w:r>
      <w:r w:rsidR="007D75CB">
        <w:rPr>
          <w:sz w:val="22"/>
          <w:szCs w:val="22"/>
        </w:rPr>
        <w:t>the</w:t>
      </w:r>
      <w:r w:rsidRPr="00945511">
        <w:rPr>
          <w:sz w:val="22"/>
          <w:szCs w:val="22"/>
        </w:rPr>
        <w:t xml:space="preserve"> environment.    </w:t>
      </w:r>
    </w:p>
    <w:p w:rsidR="007D75CB" w:rsidRDefault="002305AB" w:rsidP="002305AB">
      <w:pPr>
        <w:spacing w:before="100" w:beforeAutospacing="1" w:after="100" w:afterAutospacing="1"/>
        <w:rPr>
          <w:sz w:val="22"/>
          <w:szCs w:val="22"/>
        </w:rPr>
      </w:pPr>
      <w:r>
        <w:rPr>
          <w:sz w:val="22"/>
          <w:szCs w:val="22"/>
        </w:rPr>
        <w:t xml:space="preserve">In order to realize a sustainable future, energy production and use must be guided by the continued development of </w:t>
      </w:r>
      <w:r w:rsidR="00587150">
        <w:rPr>
          <w:sz w:val="22"/>
          <w:szCs w:val="22"/>
        </w:rPr>
        <w:t>sustainable energy sources</w:t>
      </w:r>
      <w:r>
        <w:rPr>
          <w:sz w:val="22"/>
          <w:szCs w:val="22"/>
        </w:rPr>
        <w:t xml:space="preserve">, improved energy storage mechanisms, and responsive “smart-grid” technologies </w:t>
      </w:r>
      <w:r w:rsidR="00587150">
        <w:rPr>
          <w:sz w:val="22"/>
          <w:szCs w:val="22"/>
        </w:rPr>
        <w:t>that help</w:t>
      </w:r>
      <w:r>
        <w:rPr>
          <w:sz w:val="22"/>
          <w:szCs w:val="22"/>
        </w:rPr>
        <w:t xml:space="preserve"> better manage power distribution.  Energy conservation through eff</w:t>
      </w:r>
      <w:r w:rsidR="00A52E26">
        <w:rPr>
          <w:sz w:val="22"/>
          <w:szCs w:val="22"/>
        </w:rPr>
        <w:t>icient materials, buildings,</w:t>
      </w:r>
      <w:r>
        <w:rPr>
          <w:sz w:val="22"/>
          <w:szCs w:val="22"/>
        </w:rPr>
        <w:t xml:space="preserve"> infrastructure</w:t>
      </w:r>
      <w:r w:rsidR="00A52E26">
        <w:rPr>
          <w:sz w:val="22"/>
          <w:szCs w:val="22"/>
        </w:rPr>
        <w:t xml:space="preserve">, and responsible consumer behavior also provide </w:t>
      </w:r>
      <w:r>
        <w:rPr>
          <w:sz w:val="22"/>
          <w:szCs w:val="22"/>
        </w:rPr>
        <w:t xml:space="preserve">means </w:t>
      </w:r>
      <w:r w:rsidR="00A52E26">
        <w:rPr>
          <w:sz w:val="22"/>
          <w:szCs w:val="22"/>
        </w:rPr>
        <w:t xml:space="preserve">by which to reduce the </w:t>
      </w:r>
      <w:r>
        <w:rPr>
          <w:sz w:val="22"/>
          <w:szCs w:val="22"/>
        </w:rPr>
        <w:t>environmental footprint</w:t>
      </w:r>
      <w:r w:rsidR="00A52E26">
        <w:rPr>
          <w:sz w:val="22"/>
          <w:szCs w:val="22"/>
        </w:rPr>
        <w:t xml:space="preserve"> of energy production and consumption</w:t>
      </w:r>
      <w:r>
        <w:rPr>
          <w:sz w:val="22"/>
          <w:szCs w:val="22"/>
        </w:rPr>
        <w:t xml:space="preserve">.  </w:t>
      </w:r>
    </w:p>
    <w:p w:rsidR="002305AB" w:rsidRDefault="002305AB" w:rsidP="002305AB">
      <w:pPr>
        <w:spacing w:before="100" w:beforeAutospacing="1" w:after="100" w:afterAutospacing="1"/>
      </w:pPr>
      <w:r w:rsidRPr="007D75CB">
        <w:rPr>
          <w:i/>
          <w:sz w:val="22"/>
          <w:szCs w:val="22"/>
        </w:rPr>
        <w:t>C</w:t>
      </w:r>
      <w:r w:rsidR="00587150" w:rsidRPr="007D75CB">
        <w:rPr>
          <w:i/>
          <w:sz w:val="22"/>
          <w:szCs w:val="22"/>
        </w:rPr>
        <w:t>ritical</w:t>
      </w:r>
      <w:r w:rsidRPr="007D75CB">
        <w:rPr>
          <w:i/>
          <w:sz w:val="22"/>
          <w:szCs w:val="22"/>
        </w:rPr>
        <w:t xml:space="preserve"> to smart growth and </w:t>
      </w:r>
      <w:r w:rsidR="007D75CB">
        <w:rPr>
          <w:i/>
          <w:sz w:val="22"/>
          <w:szCs w:val="22"/>
        </w:rPr>
        <w:t xml:space="preserve">our </w:t>
      </w:r>
      <w:r w:rsidRPr="007D75CB">
        <w:rPr>
          <w:i/>
          <w:sz w:val="22"/>
          <w:szCs w:val="22"/>
        </w:rPr>
        <w:t xml:space="preserve">investment in </w:t>
      </w:r>
      <w:r w:rsidR="007D75CB">
        <w:rPr>
          <w:i/>
          <w:sz w:val="22"/>
          <w:szCs w:val="22"/>
        </w:rPr>
        <w:t>a</w:t>
      </w:r>
      <w:r w:rsidRPr="007D75CB">
        <w:rPr>
          <w:i/>
          <w:sz w:val="22"/>
          <w:szCs w:val="22"/>
        </w:rPr>
        <w:t xml:space="preserve"> </w:t>
      </w:r>
      <w:r w:rsidR="007D75CB">
        <w:rPr>
          <w:i/>
          <w:sz w:val="22"/>
          <w:szCs w:val="22"/>
        </w:rPr>
        <w:t xml:space="preserve">sustainable </w:t>
      </w:r>
      <w:r w:rsidRPr="007D75CB">
        <w:rPr>
          <w:i/>
          <w:sz w:val="22"/>
          <w:szCs w:val="22"/>
        </w:rPr>
        <w:t>future is the development of a holistic understanding of the life-cycle of various energy options and the environmental impacts of our choices.</w:t>
      </w:r>
      <w:r>
        <w:rPr>
          <w:sz w:val="22"/>
          <w:szCs w:val="22"/>
        </w:rPr>
        <w:t>   </w:t>
      </w:r>
    </w:p>
    <w:p w:rsidR="00945511" w:rsidRPr="00945511" w:rsidRDefault="00945511" w:rsidP="00945511">
      <w:pPr>
        <w:jc w:val="both"/>
        <w:rPr>
          <w:sz w:val="22"/>
          <w:szCs w:val="22"/>
        </w:rPr>
      </w:pPr>
      <w:r w:rsidRPr="00945511">
        <w:rPr>
          <w:sz w:val="22"/>
          <w:szCs w:val="22"/>
        </w:rPr>
        <w:t xml:space="preserve">Recognizing the moral imperative of creating and sharing scientifically-sound, evidence-based knowledge that </w:t>
      </w:r>
      <w:r w:rsidR="00A52E26">
        <w:rPr>
          <w:sz w:val="22"/>
          <w:szCs w:val="22"/>
        </w:rPr>
        <w:t>will inform and shape</w:t>
      </w:r>
      <w:r w:rsidRPr="00945511">
        <w:rPr>
          <w:sz w:val="22"/>
          <w:szCs w:val="22"/>
        </w:rPr>
        <w:t xml:space="preserve"> </w:t>
      </w:r>
      <w:r w:rsidR="007D75CB">
        <w:rPr>
          <w:sz w:val="22"/>
          <w:szCs w:val="22"/>
        </w:rPr>
        <w:t>a</w:t>
      </w:r>
      <w:r w:rsidRPr="00945511">
        <w:rPr>
          <w:sz w:val="22"/>
          <w:szCs w:val="22"/>
        </w:rPr>
        <w:t xml:space="preserve"> sustainable</w:t>
      </w:r>
      <w:r w:rsidR="00587150">
        <w:rPr>
          <w:sz w:val="22"/>
          <w:szCs w:val="22"/>
        </w:rPr>
        <w:t>, secure</w:t>
      </w:r>
      <w:r w:rsidRPr="00945511">
        <w:rPr>
          <w:sz w:val="22"/>
          <w:szCs w:val="22"/>
        </w:rPr>
        <w:t xml:space="preserve"> </w:t>
      </w:r>
      <w:r w:rsidR="00587150">
        <w:rPr>
          <w:sz w:val="22"/>
          <w:szCs w:val="22"/>
        </w:rPr>
        <w:t xml:space="preserve">energy </w:t>
      </w:r>
      <w:r w:rsidRPr="00945511">
        <w:rPr>
          <w:sz w:val="22"/>
          <w:szCs w:val="22"/>
        </w:rPr>
        <w:t xml:space="preserve">future, Drexel </w:t>
      </w:r>
      <w:r w:rsidR="007D75CB">
        <w:rPr>
          <w:sz w:val="22"/>
          <w:szCs w:val="22"/>
        </w:rPr>
        <w:t>is</w:t>
      </w:r>
      <w:r w:rsidRPr="00945511">
        <w:rPr>
          <w:sz w:val="22"/>
          <w:szCs w:val="22"/>
        </w:rPr>
        <w:t xml:space="preserve"> establish</w:t>
      </w:r>
      <w:r w:rsidR="007D75CB">
        <w:rPr>
          <w:sz w:val="22"/>
          <w:szCs w:val="22"/>
        </w:rPr>
        <w:t>ing</w:t>
      </w:r>
      <w:r w:rsidRPr="00945511">
        <w:rPr>
          <w:sz w:val="22"/>
          <w:szCs w:val="22"/>
        </w:rPr>
        <w:t xml:space="preserve"> the AJ Drexel Institute for Energy and the Environment (</w:t>
      </w:r>
      <w:proofErr w:type="spellStart"/>
      <w:r w:rsidRPr="00945511">
        <w:rPr>
          <w:sz w:val="22"/>
          <w:szCs w:val="22"/>
        </w:rPr>
        <w:t>IExE</w:t>
      </w:r>
      <w:proofErr w:type="spellEnd"/>
      <w:r w:rsidRPr="00945511">
        <w:rPr>
          <w:sz w:val="22"/>
          <w:szCs w:val="22"/>
        </w:rPr>
        <w:t xml:space="preserve">).  The </w:t>
      </w:r>
      <w:proofErr w:type="spellStart"/>
      <w:r w:rsidRPr="00945511">
        <w:rPr>
          <w:sz w:val="22"/>
          <w:szCs w:val="22"/>
        </w:rPr>
        <w:t>IExE</w:t>
      </w:r>
      <w:proofErr w:type="spellEnd"/>
      <w:r w:rsidRPr="00945511">
        <w:rPr>
          <w:sz w:val="22"/>
          <w:szCs w:val="22"/>
        </w:rPr>
        <w:t xml:space="preserve"> </w:t>
      </w:r>
      <w:r w:rsidR="00EA6EA8">
        <w:rPr>
          <w:sz w:val="22"/>
          <w:szCs w:val="22"/>
        </w:rPr>
        <w:t xml:space="preserve">will </w:t>
      </w:r>
      <w:r w:rsidR="00EA6EA8">
        <w:rPr>
          <w:sz w:val="22"/>
          <w:szCs w:val="22"/>
        </w:rPr>
        <w:lastRenderedPageBreak/>
        <w:t>draw upon</w:t>
      </w:r>
      <w:r w:rsidRPr="00945511">
        <w:rPr>
          <w:sz w:val="22"/>
          <w:szCs w:val="22"/>
        </w:rPr>
        <w:t xml:space="preserve"> the expertise of faculty from multiple disciplines and a number of Drexel colleges and schools, including economics, engineering, social and behavioral sciences, public health science, and others.  The </w:t>
      </w:r>
      <w:proofErr w:type="spellStart"/>
      <w:r w:rsidR="00EA6EA8">
        <w:rPr>
          <w:sz w:val="22"/>
          <w:szCs w:val="22"/>
        </w:rPr>
        <w:t>IExE</w:t>
      </w:r>
      <w:proofErr w:type="spellEnd"/>
      <w:r w:rsidRPr="00945511">
        <w:rPr>
          <w:sz w:val="22"/>
          <w:szCs w:val="22"/>
        </w:rPr>
        <w:t xml:space="preserve"> </w:t>
      </w:r>
      <w:r w:rsidR="00EA6EA8">
        <w:rPr>
          <w:sz w:val="22"/>
          <w:szCs w:val="22"/>
        </w:rPr>
        <w:t xml:space="preserve">will </w:t>
      </w:r>
      <w:r w:rsidR="00EF2871">
        <w:rPr>
          <w:sz w:val="22"/>
          <w:szCs w:val="22"/>
        </w:rPr>
        <w:t xml:space="preserve">also </w:t>
      </w:r>
      <w:r w:rsidR="00EA6EA8">
        <w:rPr>
          <w:sz w:val="22"/>
          <w:szCs w:val="22"/>
        </w:rPr>
        <w:t>leverage</w:t>
      </w:r>
      <w:r w:rsidRPr="00945511">
        <w:rPr>
          <w:sz w:val="22"/>
          <w:szCs w:val="22"/>
        </w:rPr>
        <w:t xml:space="preserve"> relationships Drexel enjoys with many partners in the governmental, not-for-profit and corporate sectors, including corporations in the oil and gas, and ma</w:t>
      </w:r>
      <w:r w:rsidR="00EA6EA8">
        <w:rPr>
          <w:sz w:val="22"/>
          <w:szCs w:val="22"/>
        </w:rPr>
        <w:t xml:space="preserve">nufacturing sectors, as well as many </w:t>
      </w:r>
      <w:r w:rsidRPr="00945511">
        <w:rPr>
          <w:sz w:val="22"/>
          <w:szCs w:val="22"/>
        </w:rPr>
        <w:t xml:space="preserve">organizations whose mission interests are in environmental protection, environmental services, and water quality improvements. </w:t>
      </w:r>
    </w:p>
    <w:p w:rsidR="00B50B38" w:rsidRPr="001E4814" w:rsidRDefault="00B50B38" w:rsidP="00B50B38">
      <w:pPr>
        <w:rPr>
          <w:rFonts w:cs="Times New Roman"/>
          <w:color w:val="000000"/>
          <w:sz w:val="22"/>
          <w:szCs w:val="22"/>
        </w:rPr>
      </w:pPr>
    </w:p>
    <w:p w:rsidR="001B11BE" w:rsidRPr="001E4814" w:rsidRDefault="00445E8D" w:rsidP="00662ECC">
      <w:pPr>
        <w:pStyle w:val="ListParagraph"/>
        <w:numPr>
          <w:ilvl w:val="0"/>
          <w:numId w:val="30"/>
        </w:numPr>
        <w:ind w:left="720"/>
        <w:rPr>
          <w:rFonts w:cs="Times New Roman"/>
          <w:b/>
          <w:color w:val="000000"/>
          <w:sz w:val="22"/>
          <w:szCs w:val="22"/>
        </w:rPr>
      </w:pPr>
      <w:r w:rsidRPr="001E4814">
        <w:rPr>
          <w:rFonts w:cs="Times New Roman"/>
          <w:b/>
          <w:color w:val="000000"/>
          <w:sz w:val="22"/>
          <w:szCs w:val="22"/>
        </w:rPr>
        <w:t>AJ Drexel</w:t>
      </w:r>
      <w:r w:rsidR="001B11BE" w:rsidRPr="001E4814">
        <w:rPr>
          <w:rFonts w:cs="Times New Roman"/>
          <w:b/>
          <w:color w:val="000000"/>
          <w:sz w:val="22"/>
          <w:szCs w:val="22"/>
        </w:rPr>
        <w:t xml:space="preserve"> Institute for Energy and the Environment </w:t>
      </w:r>
    </w:p>
    <w:p w:rsidR="001B11BE" w:rsidRPr="001E4814" w:rsidRDefault="001B11BE" w:rsidP="00B50B38">
      <w:pPr>
        <w:contextualSpacing/>
        <w:rPr>
          <w:rFonts w:cs="Times New Roman"/>
          <w:color w:val="000000"/>
          <w:sz w:val="22"/>
          <w:szCs w:val="22"/>
        </w:rPr>
      </w:pPr>
    </w:p>
    <w:p w:rsidR="00775A18" w:rsidRPr="00EF2871" w:rsidRDefault="00B50B38" w:rsidP="00A52E26">
      <w:pPr>
        <w:pStyle w:val="CommentText"/>
        <w:rPr>
          <w:i/>
        </w:rPr>
      </w:pPr>
      <w:r w:rsidRPr="00EF2871">
        <w:rPr>
          <w:i/>
        </w:rPr>
        <w:t xml:space="preserve">The </w:t>
      </w:r>
      <w:r w:rsidR="00445E8D" w:rsidRPr="00EF2871">
        <w:rPr>
          <w:i/>
        </w:rPr>
        <w:t xml:space="preserve">AJ Drexel </w:t>
      </w:r>
      <w:r w:rsidRPr="00EF2871">
        <w:rPr>
          <w:i/>
        </w:rPr>
        <w:t>Institute for Energy and the Environment (</w:t>
      </w:r>
      <w:proofErr w:type="spellStart"/>
      <w:r w:rsidRPr="00EF2871">
        <w:rPr>
          <w:i/>
        </w:rPr>
        <w:t>IExE</w:t>
      </w:r>
      <w:proofErr w:type="spellEnd"/>
      <w:r w:rsidRPr="00EF2871">
        <w:rPr>
          <w:i/>
        </w:rPr>
        <w:t xml:space="preserve">) </w:t>
      </w:r>
      <w:r w:rsidR="0085001A" w:rsidRPr="00EF2871">
        <w:rPr>
          <w:i/>
        </w:rPr>
        <w:t>is designed</w:t>
      </w:r>
      <w:r w:rsidRPr="00EF2871">
        <w:rPr>
          <w:i/>
        </w:rPr>
        <w:t xml:space="preserve"> to shape the development of </w:t>
      </w:r>
      <w:r w:rsidR="003A7F75" w:rsidRPr="00EF2871">
        <w:rPr>
          <w:i/>
        </w:rPr>
        <w:t>a</w:t>
      </w:r>
      <w:r w:rsidR="00A52E26" w:rsidRPr="00EF2871">
        <w:rPr>
          <w:i/>
        </w:rPr>
        <w:t xml:space="preserve"> sustainable energy future</w:t>
      </w:r>
      <w:r w:rsidR="007A6F96" w:rsidRPr="00EF2871">
        <w:rPr>
          <w:i/>
        </w:rPr>
        <w:t>,</w:t>
      </w:r>
      <w:r w:rsidR="00A52E26" w:rsidRPr="00EF2871">
        <w:rPr>
          <w:i/>
        </w:rPr>
        <w:t xml:space="preserve"> identifying </w:t>
      </w:r>
      <w:r w:rsidR="007A6F96" w:rsidRPr="00EF2871">
        <w:rPr>
          <w:i/>
        </w:rPr>
        <w:t>new energy technologies, systems, and policies</w:t>
      </w:r>
      <w:r w:rsidR="00A52E26" w:rsidRPr="00EF2871">
        <w:rPr>
          <w:i/>
        </w:rPr>
        <w:t xml:space="preserve"> that </w:t>
      </w:r>
      <w:r w:rsidR="007A6F96" w:rsidRPr="00EF2871">
        <w:rPr>
          <w:i/>
        </w:rPr>
        <w:t xml:space="preserve">will help </w:t>
      </w:r>
      <w:r w:rsidR="00A52E26" w:rsidRPr="00EF2871">
        <w:rPr>
          <w:i/>
        </w:rPr>
        <w:t>meet the</w:t>
      </w:r>
      <w:r w:rsidR="007A6F96" w:rsidRPr="00EF2871">
        <w:rPr>
          <w:i/>
        </w:rPr>
        <w:t xml:space="preserve"> energy</w:t>
      </w:r>
      <w:r w:rsidR="00A52E26" w:rsidRPr="00EF2871">
        <w:rPr>
          <w:i/>
        </w:rPr>
        <w:t xml:space="preserve"> demands of modern society while minimizing detrimental environmental and societal impacts.  </w:t>
      </w:r>
    </w:p>
    <w:p w:rsidR="002A7B45" w:rsidRPr="00775A18" w:rsidRDefault="00CE642C" w:rsidP="00A52E26">
      <w:pPr>
        <w:pStyle w:val="CommentText"/>
      </w:pPr>
      <w:r w:rsidRPr="001E4814">
        <w:t xml:space="preserve">  </w:t>
      </w:r>
      <w:r w:rsidR="002A7B45" w:rsidRPr="001E4814">
        <w:t xml:space="preserve"> </w:t>
      </w:r>
    </w:p>
    <w:p w:rsidR="005D47D4" w:rsidRPr="00815227" w:rsidRDefault="00A52E26" w:rsidP="00815227">
      <w:pPr>
        <w:jc w:val="both"/>
        <w:rPr>
          <w:sz w:val="22"/>
          <w:szCs w:val="22"/>
        </w:rPr>
      </w:pPr>
      <w:r>
        <w:rPr>
          <w:sz w:val="22"/>
          <w:szCs w:val="22"/>
        </w:rPr>
        <w:t>The</w:t>
      </w:r>
      <w:r w:rsidR="002A7B45" w:rsidRPr="001E4814">
        <w:rPr>
          <w:sz w:val="22"/>
          <w:szCs w:val="22"/>
        </w:rPr>
        <w:t xml:space="preserve"> </w:t>
      </w:r>
      <w:proofErr w:type="spellStart"/>
      <w:r w:rsidR="002A7B45" w:rsidRPr="001E4814">
        <w:rPr>
          <w:sz w:val="22"/>
          <w:szCs w:val="22"/>
        </w:rPr>
        <w:t>IExE</w:t>
      </w:r>
      <w:proofErr w:type="spellEnd"/>
      <w:r w:rsidR="002A7B45" w:rsidRPr="001E4814">
        <w:rPr>
          <w:sz w:val="22"/>
          <w:szCs w:val="22"/>
        </w:rPr>
        <w:t xml:space="preserve"> has been designed to contribute to the University’s Strategic Plan (</w:t>
      </w:r>
      <w:r w:rsidR="001E4814" w:rsidRPr="001E4814">
        <w:rPr>
          <w:sz w:val="22"/>
          <w:szCs w:val="22"/>
        </w:rPr>
        <w:t xml:space="preserve">2012-2017), </w:t>
      </w:r>
      <w:r w:rsidR="00BC31BB" w:rsidRPr="001E4814">
        <w:rPr>
          <w:i/>
          <w:sz w:val="22"/>
          <w:szCs w:val="22"/>
        </w:rPr>
        <w:t>Transforming</w:t>
      </w:r>
      <w:r w:rsidR="005D47D4" w:rsidRPr="001E4814">
        <w:rPr>
          <w:i/>
          <w:sz w:val="22"/>
          <w:szCs w:val="22"/>
        </w:rPr>
        <w:t xml:space="preserve"> the </w:t>
      </w:r>
      <w:r w:rsidR="001E4814" w:rsidRPr="001E4814">
        <w:rPr>
          <w:i/>
          <w:sz w:val="22"/>
          <w:szCs w:val="22"/>
        </w:rPr>
        <w:t xml:space="preserve">Modern </w:t>
      </w:r>
      <w:r w:rsidR="002A7B45" w:rsidRPr="001E4814">
        <w:rPr>
          <w:i/>
          <w:sz w:val="22"/>
          <w:szCs w:val="22"/>
        </w:rPr>
        <w:t>Urban</w:t>
      </w:r>
      <w:r w:rsidR="00545C79" w:rsidRPr="001E4814">
        <w:rPr>
          <w:i/>
          <w:sz w:val="22"/>
          <w:szCs w:val="22"/>
        </w:rPr>
        <w:t xml:space="preserve"> University</w:t>
      </w:r>
      <w:r w:rsidR="00545C79" w:rsidRPr="001E4814">
        <w:rPr>
          <w:sz w:val="22"/>
          <w:szCs w:val="22"/>
        </w:rPr>
        <w:t xml:space="preserve">, ensuring that </w:t>
      </w:r>
      <w:r w:rsidR="001E4814" w:rsidRPr="001E4814">
        <w:rPr>
          <w:sz w:val="22"/>
          <w:szCs w:val="22"/>
        </w:rPr>
        <w:t>its</w:t>
      </w:r>
      <w:r w:rsidR="00545C79" w:rsidRPr="001E4814">
        <w:rPr>
          <w:sz w:val="22"/>
          <w:szCs w:val="22"/>
        </w:rPr>
        <w:t xml:space="preserve"> </w:t>
      </w:r>
      <w:r w:rsidR="002A7B45" w:rsidRPr="001E4814">
        <w:rPr>
          <w:sz w:val="22"/>
          <w:szCs w:val="22"/>
        </w:rPr>
        <w:t xml:space="preserve">discovery, learning and innovation </w:t>
      </w:r>
      <w:r w:rsidR="005D47D4" w:rsidRPr="001E4814">
        <w:rPr>
          <w:sz w:val="22"/>
          <w:szCs w:val="22"/>
        </w:rPr>
        <w:t>outcomes</w:t>
      </w:r>
      <w:r w:rsidR="00815227">
        <w:rPr>
          <w:sz w:val="22"/>
          <w:szCs w:val="22"/>
        </w:rPr>
        <w:t xml:space="preserve"> </w:t>
      </w:r>
      <w:r w:rsidR="005D47D4" w:rsidRPr="00815227">
        <w:rPr>
          <w:sz w:val="22"/>
          <w:szCs w:val="22"/>
        </w:rPr>
        <w:t xml:space="preserve">enhance </w:t>
      </w:r>
      <w:r w:rsidR="00F86D00" w:rsidRPr="00815227">
        <w:rPr>
          <w:sz w:val="22"/>
          <w:szCs w:val="22"/>
        </w:rPr>
        <w:t xml:space="preserve">the </w:t>
      </w:r>
      <w:r w:rsidR="005D47D4" w:rsidRPr="00815227">
        <w:rPr>
          <w:sz w:val="22"/>
          <w:szCs w:val="22"/>
        </w:rPr>
        <w:t>greater Philadelphia</w:t>
      </w:r>
      <w:r w:rsidR="00F86D00" w:rsidRPr="00815227">
        <w:rPr>
          <w:sz w:val="22"/>
          <w:szCs w:val="22"/>
        </w:rPr>
        <w:t xml:space="preserve"> region</w:t>
      </w:r>
      <w:r w:rsidR="00880E24">
        <w:rPr>
          <w:sz w:val="22"/>
          <w:szCs w:val="22"/>
        </w:rPr>
        <w:t xml:space="preserve">’s </w:t>
      </w:r>
      <w:r w:rsidR="005D47D4" w:rsidRPr="00815227">
        <w:rPr>
          <w:sz w:val="22"/>
          <w:szCs w:val="22"/>
        </w:rPr>
        <w:t>reputation as a leader in the energy economy, contribut</w:t>
      </w:r>
      <w:r>
        <w:rPr>
          <w:sz w:val="22"/>
          <w:szCs w:val="22"/>
        </w:rPr>
        <w:t>ing</w:t>
      </w:r>
      <w:r w:rsidR="005D47D4" w:rsidRPr="00815227">
        <w:rPr>
          <w:sz w:val="22"/>
          <w:szCs w:val="22"/>
        </w:rPr>
        <w:t xml:space="preserve"> to </w:t>
      </w:r>
      <w:r w:rsidR="002A7B45" w:rsidRPr="00815227">
        <w:rPr>
          <w:sz w:val="22"/>
          <w:szCs w:val="22"/>
        </w:rPr>
        <w:t xml:space="preserve">regional economic development </w:t>
      </w:r>
      <w:r w:rsidR="005D47D4" w:rsidRPr="00815227">
        <w:rPr>
          <w:sz w:val="22"/>
          <w:szCs w:val="22"/>
        </w:rPr>
        <w:t xml:space="preserve">by </w:t>
      </w:r>
      <w:r w:rsidR="002A7B45" w:rsidRPr="00815227">
        <w:rPr>
          <w:sz w:val="22"/>
          <w:szCs w:val="22"/>
        </w:rPr>
        <w:t xml:space="preserve">providing a catalyst for growth in </w:t>
      </w:r>
      <w:r w:rsidR="00EA6EA8">
        <w:rPr>
          <w:sz w:val="22"/>
          <w:szCs w:val="22"/>
        </w:rPr>
        <w:t xml:space="preserve">related </w:t>
      </w:r>
      <w:r w:rsidR="005D47D4" w:rsidRPr="00815227">
        <w:rPr>
          <w:sz w:val="22"/>
          <w:szCs w:val="22"/>
        </w:rPr>
        <w:t xml:space="preserve">industries </w:t>
      </w:r>
      <w:r w:rsidR="00545C79" w:rsidRPr="00815227">
        <w:rPr>
          <w:sz w:val="22"/>
          <w:szCs w:val="22"/>
        </w:rPr>
        <w:t>such as advanced manufacturing</w:t>
      </w:r>
      <w:r w:rsidR="005D47D4" w:rsidRPr="00815227">
        <w:rPr>
          <w:sz w:val="22"/>
          <w:szCs w:val="22"/>
        </w:rPr>
        <w:t>, and establish</w:t>
      </w:r>
      <w:r>
        <w:rPr>
          <w:sz w:val="22"/>
          <w:szCs w:val="22"/>
        </w:rPr>
        <w:t>ing</w:t>
      </w:r>
      <w:r w:rsidR="005D47D4" w:rsidRPr="00815227">
        <w:rPr>
          <w:sz w:val="22"/>
          <w:szCs w:val="22"/>
        </w:rPr>
        <w:t xml:space="preserve"> the </w:t>
      </w:r>
      <w:r w:rsidR="00EA6EA8">
        <w:rPr>
          <w:sz w:val="22"/>
          <w:szCs w:val="22"/>
        </w:rPr>
        <w:t xml:space="preserve">City and the </w:t>
      </w:r>
      <w:r w:rsidR="00545C79" w:rsidRPr="00815227">
        <w:rPr>
          <w:sz w:val="22"/>
          <w:szCs w:val="22"/>
        </w:rPr>
        <w:t>Commonwealth</w:t>
      </w:r>
      <w:r w:rsidR="005D47D4" w:rsidRPr="00815227">
        <w:rPr>
          <w:sz w:val="22"/>
          <w:szCs w:val="22"/>
        </w:rPr>
        <w:t xml:space="preserve"> as</w:t>
      </w:r>
      <w:r w:rsidR="00EA6EA8">
        <w:rPr>
          <w:sz w:val="22"/>
          <w:szCs w:val="22"/>
        </w:rPr>
        <w:t xml:space="preserve"> </w:t>
      </w:r>
      <w:r w:rsidR="00F86D00" w:rsidRPr="00815227">
        <w:rPr>
          <w:sz w:val="22"/>
          <w:szCs w:val="22"/>
        </w:rPr>
        <w:t>responsible steward</w:t>
      </w:r>
      <w:r w:rsidR="00EA6EA8">
        <w:rPr>
          <w:sz w:val="22"/>
          <w:szCs w:val="22"/>
        </w:rPr>
        <w:t>s</w:t>
      </w:r>
      <w:r w:rsidR="00F86D00" w:rsidRPr="00815227">
        <w:rPr>
          <w:sz w:val="22"/>
          <w:szCs w:val="22"/>
        </w:rPr>
        <w:t xml:space="preserve"> of the E</w:t>
      </w:r>
      <w:r w:rsidR="00B308E7" w:rsidRPr="00815227">
        <w:rPr>
          <w:sz w:val="22"/>
          <w:szCs w:val="22"/>
        </w:rPr>
        <w:t xml:space="preserve">arth’s </w:t>
      </w:r>
      <w:r w:rsidR="005D47D4" w:rsidRPr="00815227">
        <w:rPr>
          <w:sz w:val="22"/>
          <w:szCs w:val="22"/>
        </w:rPr>
        <w:t>resources</w:t>
      </w:r>
      <w:r w:rsidR="002A7B45" w:rsidRPr="00815227">
        <w:rPr>
          <w:sz w:val="22"/>
          <w:szCs w:val="22"/>
        </w:rPr>
        <w:t>.</w:t>
      </w:r>
    </w:p>
    <w:p w:rsidR="00345E2D" w:rsidRPr="001E4814" w:rsidRDefault="00345E2D" w:rsidP="005D47D4">
      <w:pPr>
        <w:jc w:val="both"/>
        <w:rPr>
          <w:sz w:val="22"/>
          <w:szCs w:val="22"/>
        </w:rPr>
      </w:pPr>
    </w:p>
    <w:p w:rsidR="00BC31BB" w:rsidRPr="001E4814" w:rsidRDefault="005D47D4" w:rsidP="00345E2D">
      <w:pPr>
        <w:rPr>
          <w:sz w:val="22"/>
          <w:szCs w:val="22"/>
        </w:rPr>
      </w:pPr>
      <w:r w:rsidRPr="001E4814">
        <w:rPr>
          <w:sz w:val="22"/>
          <w:szCs w:val="22"/>
        </w:rPr>
        <w:t xml:space="preserve">The </w:t>
      </w:r>
      <w:proofErr w:type="spellStart"/>
      <w:r w:rsidRPr="001E4814">
        <w:rPr>
          <w:sz w:val="22"/>
          <w:szCs w:val="22"/>
        </w:rPr>
        <w:t>IExE</w:t>
      </w:r>
      <w:proofErr w:type="spellEnd"/>
      <w:r w:rsidRPr="001E4814">
        <w:rPr>
          <w:sz w:val="22"/>
          <w:szCs w:val="22"/>
        </w:rPr>
        <w:t xml:space="preserve"> Director - </w:t>
      </w:r>
      <w:r w:rsidR="00345E2D" w:rsidRPr="001E4814">
        <w:rPr>
          <w:sz w:val="22"/>
          <w:szCs w:val="22"/>
        </w:rPr>
        <w:t>a</w:t>
      </w:r>
      <w:r w:rsidR="00EE3399" w:rsidRPr="001E4814">
        <w:rPr>
          <w:sz w:val="22"/>
          <w:szCs w:val="22"/>
        </w:rPr>
        <w:t xml:space="preserve"> </w:t>
      </w:r>
      <w:r w:rsidRPr="001E4814">
        <w:rPr>
          <w:sz w:val="22"/>
          <w:szCs w:val="22"/>
        </w:rPr>
        <w:t xml:space="preserve">national search is </w:t>
      </w:r>
      <w:r w:rsidR="00C63E13" w:rsidRPr="001E4814">
        <w:rPr>
          <w:sz w:val="22"/>
          <w:szCs w:val="22"/>
        </w:rPr>
        <w:t>c</w:t>
      </w:r>
      <w:r w:rsidR="00EE3399" w:rsidRPr="001E4814">
        <w:rPr>
          <w:sz w:val="22"/>
          <w:szCs w:val="22"/>
        </w:rPr>
        <w:t xml:space="preserve">urrently </w:t>
      </w:r>
      <w:r w:rsidR="00345E2D" w:rsidRPr="001E4814">
        <w:rPr>
          <w:sz w:val="22"/>
          <w:szCs w:val="22"/>
        </w:rPr>
        <w:t>underway</w:t>
      </w:r>
      <w:r w:rsidRPr="001E4814">
        <w:rPr>
          <w:sz w:val="22"/>
          <w:szCs w:val="22"/>
        </w:rPr>
        <w:t xml:space="preserve"> for a dynamic leader for the Institute - </w:t>
      </w:r>
      <w:r w:rsidR="00345E2D" w:rsidRPr="001E4814">
        <w:rPr>
          <w:sz w:val="22"/>
          <w:szCs w:val="22"/>
        </w:rPr>
        <w:t>provides vision, leadership, and guidance for the programmatic activities of the Institute</w:t>
      </w:r>
      <w:r w:rsidR="00545C79" w:rsidRPr="001E4814">
        <w:rPr>
          <w:sz w:val="22"/>
          <w:szCs w:val="22"/>
        </w:rPr>
        <w:t xml:space="preserve"> and</w:t>
      </w:r>
      <w:r w:rsidRPr="001E4814">
        <w:rPr>
          <w:sz w:val="22"/>
          <w:szCs w:val="22"/>
        </w:rPr>
        <w:t xml:space="preserve"> benefits from</w:t>
      </w:r>
      <w:r w:rsidR="00345E2D" w:rsidRPr="001E4814">
        <w:rPr>
          <w:sz w:val="22"/>
          <w:szCs w:val="22"/>
        </w:rPr>
        <w:t xml:space="preserve"> expert advice </w:t>
      </w:r>
      <w:r w:rsidRPr="001E4814">
        <w:rPr>
          <w:sz w:val="22"/>
          <w:szCs w:val="22"/>
        </w:rPr>
        <w:t>provided by</w:t>
      </w:r>
      <w:r w:rsidR="00345E2D" w:rsidRPr="001E4814">
        <w:rPr>
          <w:sz w:val="22"/>
          <w:szCs w:val="22"/>
        </w:rPr>
        <w:t xml:space="preserve"> two</w:t>
      </w:r>
      <w:r w:rsidR="00545C79" w:rsidRPr="001E4814">
        <w:rPr>
          <w:sz w:val="22"/>
          <w:szCs w:val="22"/>
        </w:rPr>
        <w:t xml:space="preserve"> external groups: </w:t>
      </w:r>
      <w:r w:rsidR="00AA0AA0">
        <w:rPr>
          <w:sz w:val="22"/>
          <w:szCs w:val="22"/>
        </w:rPr>
        <w:t>the</w:t>
      </w:r>
      <w:r w:rsidR="00EE3399" w:rsidRPr="001E4814">
        <w:rPr>
          <w:sz w:val="22"/>
          <w:szCs w:val="22"/>
        </w:rPr>
        <w:t xml:space="preserve"> </w:t>
      </w:r>
      <w:proofErr w:type="spellStart"/>
      <w:r w:rsidR="00EE3399" w:rsidRPr="001E4814">
        <w:rPr>
          <w:sz w:val="22"/>
          <w:szCs w:val="22"/>
        </w:rPr>
        <w:t>IEx</w:t>
      </w:r>
      <w:r w:rsidR="001E4814" w:rsidRPr="001E4814">
        <w:rPr>
          <w:sz w:val="22"/>
          <w:szCs w:val="22"/>
        </w:rPr>
        <w:t>E</w:t>
      </w:r>
      <w:proofErr w:type="spellEnd"/>
      <w:r w:rsidR="001E4814" w:rsidRPr="001E4814">
        <w:rPr>
          <w:sz w:val="22"/>
          <w:szCs w:val="22"/>
        </w:rPr>
        <w:t xml:space="preserve"> Alliance, which </w:t>
      </w:r>
      <w:r w:rsidR="00EE3399" w:rsidRPr="001E4814">
        <w:rPr>
          <w:sz w:val="22"/>
          <w:szCs w:val="22"/>
        </w:rPr>
        <w:t>i</w:t>
      </w:r>
      <w:r w:rsidR="00345E2D" w:rsidRPr="001E4814">
        <w:rPr>
          <w:sz w:val="22"/>
          <w:szCs w:val="22"/>
        </w:rPr>
        <w:t xml:space="preserve">ncludes </w:t>
      </w:r>
      <w:r w:rsidR="00AA0AA0">
        <w:rPr>
          <w:sz w:val="22"/>
          <w:szCs w:val="22"/>
        </w:rPr>
        <w:t>corporate and civil society members who have early</w:t>
      </w:r>
      <w:r w:rsidR="00345E2D" w:rsidRPr="001E4814">
        <w:rPr>
          <w:sz w:val="22"/>
          <w:szCs w:val="22"/>
        </w:rPr>
        <w:t xml:space="preserve"> access </w:t>
      </w:r>
      <w:r w:rsidR="00AA0AA0">
        <w:rPr>
          <w:sz w:val="22"/>
          <w:szCs w:val="22"/>
        </w:rPr>
        <w:t xml:space="preserve">to </w:t>
      </w:r>
      <w:proofErr w:type="spellStart"/>
      <w:r w:rsidR="00345E2D" w:rsidRPr="001E4814">
        <w:rPr>
          <w:sz w:val="22"/>
          <w:szCs w:val="22"/>
        </w:rPr>
        <w:t>IExE</w:t>
      </w:r>
      <w:proofErr w:type="spellEnd"/>
      <w:r w:rsidR="00345E2D" w:rsidRPr="001E4814">
        <w:rPr>
          <w:sz w:val="22"/>
          <w:szCs w:val="22"/>
        </w:rPr>
        <w:t xml:space="preserve"> inte</w:t>
      </w:r>
      <w:r w:rsidR="00545C79" w:rsidRPr="001E4814">
        <w:rPr>
          <w:sz w:val="22"/>
          <w:szCs w:val="22"/>
        </w:rPr>
        <w:t>llectual and physical resources;</w:t>
      </w:r>
      <w:r w:rsidR="00EE3399" w:rsidRPr="001E4814">
        <w:rPr>
          <w:sz w:val="22"/>
          <w:szCs w:val="22"/>
        </w:rPr>
        <w:t xml:space="preserve"> and a</w:t>
      </w:r>
      <w:r w:rsidR="00345E2D" w:rsidRPr="001E4814">
        <w:rPr>
          <w:sz w:val="22"/>
          <w:szCs w:val="22"/>
        </w:rPr>
        <w:t xml:space="preserve"> Scientific Advisory Board, which comprises researchers and scholars with expertise in areas </w:t>
      </w:r>
      <w:r w:rsidRPr="001E4814">
        <w:rPr>
          <w:sz w:val="22"/>
          <w:szCs w:val="22"/>
        </w:rPr>
        <w:t xml:space="preserve">that advance the </w:t>
      </w:r>
      <w:r w:rsidR="00345E2D" w:rsidRPr="001E4814">
        <w:rPr>
          <w:sz w:val="22"/>
          <w:szCs w:val="22"/>
        </w:rPr>
        <w:t>goals of the Institute.</w:t>
      </w:r>
    </w:p>
    <w:p w:rsidR="00BC31BB" w:rsidRPr="001E4814" w:rsidRDefault="00BC31BB" w:rsidP="00345E2D">
      <w:pPr>
        <w:rPr>
          <w:sz w:val="22"/>
          <w:szCs w:val="22"/>
        </w:rPr>
      </w:pPr>
    </w:p>
    <w:p w:rsidR="00345E2D" w:rsidRPr="001E4814" w:rsidRDefault="00EF2871" w:rsidP="00345E2D">
      <w:pPr>
        <w:rPr>
          <w:sz w:val="22"/>
          <w:szCs w:val="22"/>
        </w:rPr>
      </w:pPr>
      <w:r>
        <w:rPr>
          <w:sz w:val="22"/>
          <w:szCs w:val="22"/>
        </w:rPr>
        <w:t>A number of</w:t>
      </w:r>
      <w:r w:rsidR="00BC31BB" w:rsidRPr="001E4814">
        <w:rPr>
          <w:sz w:val="22"/>
          <w:szCs w:val="22"/>
        </w:rPr>
        <w:t xml:space="preserve"> </w:t>
      </w:r>
      <w:proofErr w:type="spellStart"/>
      <w:r w:rsidR="00BC31BB" w:rsidRPr="001E4814">
        <w:rPr>
          <w:sz w:val="22"/>
          <w:szCs w:val="22"/>
        </w:rPr>
        <w:t>IExE</w:t>
      </w:r>
      <w:proofErr w:type="spellEnd"/>
      <w:r w:rsidR="00BC31BB" w:rsidRPr="001E4814">
        <w:rPr>
          <w:sz w:val="22"/>
          <w:szCs w:val="22"/>
        </w:rPr>
        <w:t xml:space="preserve"> </w:t>
      </w:r>
      <w:r>
        <w:rPr>
          <w:sz w:val="22"/>
          <w:szCs w:val="22"/>
        </w:rPr>
        <w:t xml:space="preserve">programs and activities </w:t>
      </w:r>
      <w:r w:rsidR="00BC31BB" w:rsidRPr="001E4814">
        <w:rPr>
          <w:sz w:val="22"/>
          <w:szCs w:val="22"/>
        </w:rPr>
        <w:t xml:space="preserve">will be located in 3101 Market, one of the first </w:t>
      </w:r>
      <w:r w:rsidR="00C63E13" w:rsidRPr="001E4814">
        <w:rPr>
          <w:sz w:val="22"/>
          <w:szCs w:val="22"/>
        </w:rPr>
        <w:t>mix</w:t>
      </w:r>
      <w:r w:rsidR="00EE3399" w:rsidRPr="001E4814">
        <w:rPr>
          <w:sz w:val="22"/>
          <w:szCs w:val="22"/>
        </w:rPr>
        <w:t xml:space="preserve">ed-use </w:t>
      </w:r>
      <w:r w:rsidR="00BC31BB" w:rsidRPr="001E4814">
        <w:rPr>
          <w:sz w:val="22"/>
          <w:szCs w:val="22"/>
        </w:rPr>
        <w:t xml:space="preserve">developments in the University’s </w:t>
      </w:r>
      <w:r w:rsidR="00EE3399" w:rsidRPr="001E4814">
        <w:rPr>
          <w:sz w:val="22"/>
          <w:szCs w:val="22"/>
        </w:rPr>
        <w:t xml:space="preserve">new </w:t>
      </w:r>
      <w:r w:rsidR="00BC31BB" w:rsidRPr="001E4814">
        <w:rPr>
          <w:sz w:val="22"/>
          <w:szCs w:val="22"/>
        </w:rPr>
        <w:t xml:space="preserve">Innovation Neighborhood.  Designed by </w:t>
      </w:r>
      <w:r w:rsidR="00EE3399" w:rsidRPr="001E4814">
        <w:rPr>
          <w:sz w:val="22"/>
          <w:szCs w:val="22"/>
        </w:rPr>
        <w:t>a leading international</w:t>
      </w:r>
      <w:r w:rsidR="001F433E" w:rsidRPr="001E4814">
        <w:rPr>
          <w:sz w:val="22"/>
          <w:szCs w:val="22"/>
        </w:rPr>
        <w:t xml:space="preserve"> </w:t>
      </w:r>
      <w:r w:rsidR="00EE3399" w:rsidRPr="001E4814">
        <w:rPr>
          <w:sz w:val="22"/>
          <w:szCs w:val="22"/>
        </w:rPr>
        <w:t xml:space="preserve">architectural firm, </w:t>
      </w:r>
      <w:r w:rsidR="00BC31BB" w:rsidRPr="001E4814">
        <w:rPr>
          <w:sz w:val="22"/>
          <w:szCs w:val="22"/>
        </w:rPr>
        <w:t xml:space="preserve">3101 Market will accommodate a diverse mix of academic and corporate functions, and will contain state-of-the-art R&amp;D labs and facilities that </w:t>
      </w:r>
      <w:r w:rsidR="001F433E" w:rsidRPr="001E4814">
        <w:rPr>
          <w:sz w:val="22"/>
          <w:szCs w:val="22"/>
        </w:rPr>
        <w:t>allow</w:t>
      </w:r>
      <w:r w:rsidR="00BC31BB" w:rsidRPr="001E4814">
        <w:rPr>
          <w:sz w:val="22"/>
          <w:szCs w:val="22"/>
        </w:rPr>
        <w:t xml:space="preserve"> its </w:t>
      </w:r>
      <w:r w:rsidR="001F433E" w:rsidRPr="001E4814">
        <w:rPr>
          <w:sz w:val="22"/>
          <w:szCs w:val="22"/>
        </w:rPr>
        <w:t>occupants</w:t>
      </w:r>
      <w:r w:rsidR="00BC31BB" w:rsidRPr="001E4814">
        <w:rPr>
          <w:sz w:val="22"/>
          <w:szCs w:val="22"/>
        </w:rPr>
        <w:t xml:space="preserve"> to </w:t>
      </w:r>
      <w:r w:rsidR="001F433E" w:rsidRPr="001E4814">
        <w:rPr>
          <w:sz w:val="22"/>
          <w:szCs w:val="22"/>
        </w:rPr>
        <w:t xml:space="preserve">move </w:t>
      </w:r>
      <w:r w:rsidR="00EE3399" w:rsidRPr="001E4814">
        <w:rPr>
          <w:sz w:val="22"/>
          <w:szCs w:val="22"/>
        </w:rPr>
        <w:t xml:space="preserve">new energy </w:t>
      </w:r>
      <w:r w:rsidR="001F433E" w:rsidRPr="001E4814">
        <w:rPr>
          <w:sz w:val="22"/>
          <w:szCs w:val="22"/>
        </w:rPr>
        <w:t xml:space="preserve">technologies and know-how </w:t>
      </w:r>
      <w:r w:rsidR="007A6F96">
        <w:rPr>
          <w:sz w:val="22"/>
          <w:szCs w:val="22"/>
        </w:rPr>
        <w:t>into widespread use</w:t>
      </w:r>
      <w:r w:rsidR="001F433E" w:rsidRPr="001E4814">
        <w:rPr>
          <w:sz w:val="22"/>
          <w:szCs w:val="22"/>
        </w:rPr>
        <w:t xml:space="preserve"> effectively and efficiently</w:t>
      </w:r>
      <w:r w:rsidR="00BC31BB" w:rsidRPr="001E4814">
        <w:rPr>
          <w:sz w:val="22"/>
          <w:szCs w:val="22"/>
        </w:rPr>
        <w:t>.</w:t>
      </w:r>
      <w:r w:rsidR="005C57DC" w:rsidRPr="001E4814">
        <w:rPr>
          <w:sz w:val="22"/>
          <w:szCs w:val="22"/>
        </w:rPr>
        <w:t xml:space="preserve">   The first phase of </w:t>
      </w:r>
      <w:r w:rsidR="00545C79" w:rsidRPr="001E4814">
        <w:rPr>
          <w:sz w:val="22"/>
          <w:szCs w:val="22"/>
        </w:rPr>
        <w:t>a multi-year</w:t>
      </w:r>
      <w:r w:rsidR="005C57DC" w:rsidRPr="001E4814">
        <w:rPr>
          <w:sz w:val="22"/>
          <w:szCs w:val="22"/>
        </w:rPr>
        <w:t xml:space="preserve"> </w:t>
      </w:r>
      <w:r w:rsidR="00545C79" w:rsidRPr="001E4814">
        <w:rPr>
          <w:sz w:val="22"/>
          <w:szCs w:val="22"/>
        </w:rPr>
        <w:t>development</w:t>
      </w:r>
      <w:r w:rsidR="00BC31BB" w:rsidRPr="001E4814">
        <w:rPr>
          <w:sz w:val="22"/>
          <w:szCs w:val="22"/>
        </w:rPr>
        <w:t xml:space="preserve"> plan </w:t>
      </w:r>
      <w:r w:rsidR="00545C79" w:rsidRPr="001E4814">
        <w:rPr>
          <w:sz w:val="22"/>
          <w:szCs w:val="22"/>
        </w:rPr>
        <w:t xml:space="preserve">for 3101 Market and adjacent land </w:t>
      </w:r>
      <w:r w:rsidR="00BC31BB" w:rsidRPr="001E4814">
        <w:rPr>
          <w:sz w:val="22"/>
          <w:szCs w:val="22"/>
        </w:rPr>
        <w:t xml:space="preserve">will </w:t>
      </w:r>
      <w:r w:rsidR="005C57DC" w:rsidRPr="001E4814">
        <w:rPr>
          <w:sz w:val="22"/>
          <w:szCs w:val="22"/>
        </w:rPr>
        <w:t>begin in January 2014, creating</w:t>
      </w:r>
      <w:r w:rsidR="002B7C2C" w:rsidRPr="001E4814">
        <w:rPr>
          <w:sz w:val="22"/>
          <w:szCs w:val="22"/>
        </w:rPr>
        <w:t xml:space="preserve"> approximately 50,000 square feet of </w:t>
      </w:r>
      <w:r w:rsidR="001F433E" w:rsidRPr="001E4814">
        <w:rPr>
          <w:sz w:val="22"/>
          <w:szCs w:val="22"/>
        </w:rPr>
        <w:t>labs, fa</w:t>
      </w:r>
      <w:r w:rsidR="005C57DC" w:rsidRPr="001E4814">
        <w:rPr>
          <w:sz w:val="22"/>
          <w:szCs w:val="22"/>
        </w:rPr>
        <w:t>cilities and colla</w:t>
      </w:r>
      <w:r w:rsidR="00C63E13" w:rsidRPr="001E4814">
        <w:rPr>
          <w:sz w:val="22"/>
          <w:szCs w:val="22"/>
        </w:rPr>
        <w:t>boration and innovation spaces</w:t>
      </w:r>
      <w:r w:rsidR="005C57DC" w:rsidRPr="001E4814">
        <w:rPr>
          <w:sz w:val="22"/>
          <w:szCs w:val="22"/>
        </w:rPr>
        <w:t xml:space="preserve">.   Phases two and three will create dynamic innovation </w:t>
      </w:r>
      <w:r w:rsidR="001E4814" w:rsidRPr="001E4814">
        <w:rPr>
          <w:sz w:val="22"/>
          <w:szCs w:val="22"/>
        </w:rPr>
        <w:t>programs</w:t>
      </w:r>
      <w:r w:rsidR="005C57DC" w:rsidRPr="001E4814">
        <w:rPr>
          <w:sz w:val="22"/>
          <w:szCs w:val="22"/>
        </w:rPr>
        <w:t xml:space="preserve"> in an additional 70,000 square feet. </w:t>
      </w:r>
      <w:r w:rsidR="002B7C2C" w:rsidRPr="001E4814">
        <w:rPr>
          <w:sz w:val="22"/>
          <w:szCs w:val="22"/>
        </w:rPr>
        <w:t xml:space="preserve"> As envisioned, c</w:t>
      </w:r>
      <w:r w:rsidR="00545C79" w:rsidRPr="001E4814">
        <w:rPr>
          <w:sz w:val="22"/>
          <w:szCs w:val="22"/>
        </w:rPr>
        <w:t>orporate tenants in 3101 Market and in adjacent developments in the Innovation Neighborhood will include Fortune 500 and small and medium</w:t>
      </w:r>
      <w:r w:rsidR="002B7C2C" w:rsidRPr="001E4814">
        <w:rPr>
          <w:sz w:val="22"/>
          <w:szCs w:val="22"/>
        </w:rPr>
        <w:t xml:space="preserve"> size enterprises </w:t>
      </w:r>
      <w:r w:rsidR="003243CD" w:rsidRPr="001E4814">
        <w:rPr>
          <w:sz w:val="22"/>
          <w:szCs w:val="22"/>
        </w:rPr>
        <w:t xml:space="preserve">attracted to </w:t>
      </w:r>
      <w:r w:rsidR="001E4814" w:rsidRPr="001E4814">
        <w:rPr>
          <w:sz w:val="22"/>
          <w:szCs w:val="22"/>
        </w:rPr>
        <w:t>the</w:t>
      </w:r>
      <w:r w:rsidR="002B7C2C" w:rsidRPr="001E4814">
        <w:rPr>
          <w:sz w:val="22"/>
          <w:szCs w:val="22"/>
        </w:rPr>
        <w:t xml:space="preserve"> g</w:t>
      </w:r>
      <w:r w:rsidR="001E4814" w:rsidRPr="001E4814">
        <w:rPr>
          <w:sz w:val="22"/>
          <w:szCs w:val="22"/>
        </w:rPr>
        <w:t>r</w:t>
      </w:r>
      <w:r w:rsidR="002B7C2C" w:rsidRPr="001E4814">
        <w:rPr>
          <w:sz w:val="22"/>
          <w:szCs w:val="22"/>
        </w:rPr>
        <w:t>owing</w:t>
      </w:r>
      <w:r w:rsidR="003243CD" w:rsidRPr="001E4814">
        <w:rPr>
          <w:sz w:val="22"/>
          <w:szCs w:val="22"/>
        </w:rPr>
        <w:t xml:space="preserve"> energy innovation cluster anchored by the </w:t>
      </w:r>
      <w:proofErr w:type="spellStart"/>
      <w:r w:rsidR="003243CD" w:rsidRPr="001E4814">
        <w:rPr>
          <w:sz w:val="22"/>
          <w:szCs w:val="22"/>
        </w:rPr>
        <w:t>IExE</w:t>
      </w:r>
      <w:proofErr w:type="spellEnd"/>
      <w:r w:rsidR="003243CD" w:rsidRPr="001E4814">
        <w:rPr>
          <w:sz w:val="22"/>
          <w:szCs w:val="22"/>
        </w:rPr>
        <w:t>.</w:t>
      </w:r>
    </w:p>
    <w:p w:rsidR="007A6F96" w:rsidRDefault="007A6F96" w:rsidP="00C52816">
      <w:pPr>
        <w:rPr>
          <w:sz w:val="22"/>
          <w:szCs w:val="22"/>
        </w:rPr>
      </w:pPr>
    </w:p>
    <w:p w:rsidR="00154CB8" w:rsidRPr="00154CB8" w:rsidRDefault="00154CB8" w:rsidP="00C52816">
      <w:pPr>
        <w:rPr>
          <w:b/>
          <w:sz w:val="22"/>
          <w:szCs w:val="22"/>
        </w:rPr>
      </w:pPr>
      <w:proofErr w:type="spellStart"/>
      <w:r>
        <w:rPr>
          <w:b/>
          <w:sz w:val="22"/>
          <w:szCs w:val="22"/>
        </w:rPr>
        <w:t>IExE</w:t>
      </w:r>
      <w:proofErr w:type="spellEnd"/>
      <w:r>
        <w:rPr>
          <w:b/>
          <w:sz w:val="22"/>
          <w:szCs w:val="22"/>
        </w:rPr>
        <w:t xml:space="preserve"> </w:t>
      </w:r>
      <w:r w:rsidRPr="00154CB8">
        <w:rPr>
          <w:b/>
          <w:sz w:val="22"/>
          <w:szCs w:val="22"/>
        </w:rPr>
        <w:t>Research</w:t>
      </w:r>
    </w:p>
    <w:p w:rsidR="00154CB8" w:rsidRDefault="00154CB8" w:rsidP="001F6F39">
      <w:pPr>
        <w:jc w:val="both"/>
        <w:rPr>
          <w:sz w:val="22"/>
          <w:szCs w:val="22"/>
        </w:rPr>
      </w:pPr>
    </w:p>
    <w:p w:rsidR="00154CB8" w:rsidRPr="001E4814" w:rsidRDefault="00545C79" w:rsidP="001F6F39">
      <w:pPr>
        <w:jc w:val="both"/>
        <w:rPr>
          <w:sz w:val="22"/>
          <w:szCs w:val="22"/>
        </w:rPr>
      </w:pPr>
      <w:r w:rsidRPr="001E4814">
        <w:rPr>
          <w:sz w:val="22"/>
          <w:szCs w:val="22"/>
        </w:rPr>
        <w:t>The</w:t>
      </w:r>
      <w:r w:rsidR="00500406" w:rsidRPr="001E4814">
        <w:rPr>
          <w:sz w:val="22"/>
          <w:szCs w:val="22"/>
        </w:rPr>
        <w:t xml:space="preserve"> </w:t>
      </w:r>
      <w:proofErr w:type="spellStart"/>
      <w:r w:rsidRPr="001E4814">
        <w:rPr>
          <w:sz w:val="22"/>
          <w:szCs w:val="22"/>
        </w:rPr>
        <w:t>IExE</w:t>
      </w:r>
      <w:r w:rsidR="00A17FFD" w:rsidRPr="001E4814">
        <w:rPr>
          <w:sz w:val="22"/>
          <w:szCs w:val="22"/>
        </w:rPr>
        <w:t>’s</w:t>
      </w:r>
      <w:proofErr w:type="spellEnd"/>
      <w:r w:rsidR="005D47D4" w:rsidRPr="001E4814">
        <w:rPr>
          <w:sz w:val="22"/>
          <w:szCs w:val="22"/>
        </w:rPr>
        <w:t xml:space="preserve"> </w:t>
      </w:r>
      <w:r w:rsidR="00154CB8">
        <w:rPr>
          <w:sz w:val="22"/>
          <w:szCs w:val="22"/>
        </w:rPr>
        <w:t>research</w:t>
      </w:r>
      <w:r w:rsidR="005C57DC" w:rsidRPr="001E4814">
        <w:rPr>
          <w:sz w:val="22"/>
          <w:szCs w:val="22"/>
        </w:rPr>
        <w:t xml:space="preserve"> core</w:t>
      </w:r>
      <w:r w:rsidR="005D47D4" w:rsidRPr="001E4814">
        <w:rPr>
          <w:sz w:val="22"/>
          <w:szCs w:val="22"/>
        </w:rPr>
        <w:t xml:space="preserve"> is </w:t>
      </w:r>
      <w:r w:rsidRPr="001E4814">
        <w:rPr>
          <w:sz w:val="22"/>
          <w:szCs w:val="22"/>
        </w:rPr>
        <w:t xml:space="preserve">currently </w:t>
      </w:r>
      <w:r w:rsidR="005D47D4" w:rsidRPr="001E4814">
        <w:rPr>
          <w:sz w:val="22"/>
          <w:szCs w:val="22"/>
        </w:rPr>
        <w:t xml:space="preserve">organized into </w:t>
      </w:r>
      <w:r w:rsidR="00500406" w:rsidRPr="001E4814">
        <w:rPr>
          <w:sz w:val="22"/>
          <w:szCs w:val="22"/>
        </w:rPr>
        <w:t xml:space="preserve">six </w:t>
      </w:r>
      <w:r w:rsidR="00AF1F91" w:rsidRPr="001E4814">
        <w:rPr>
          <w:sz w:val="22"/>
          <w:szCs w:val="22"/>
        </w:rPr>
        <w:t xml:space="preserve">interdependent </w:t>
      </w:r>
      <w:r w:rsidR="00815227">
        <w:rPr>
          <w:sz w:val="22"/>
          <w:szCs w:val="22"/>
        </w:rPr>
        <w:t>clusters:</w:t>
      </w:r>
      <w:r w:rsidR="00500406" w:rsidRPr="001E4814">
        <w:rPr>
          <w:sz w:val="22"/>
          <w:szCs w:val="22"/>
        </w:rPr>
        <w:t xml:space="preserve"> Energy</w:t>
      </w:r>
      <w:r w:rsidR="0027530C">
        <w:rPr>
          <w:sz w:val="22"/>
          <w:szCs w:val="22"/>
        </w:rPr>
        <w:t>, Environment &amp;</w:t>
      </w:r>
      <w:r w:rsidR="00500406" w:rsidRPr="001E4814">
        <w:rPr>
          <w:sz w:val="22"/>
          <w:szCs w:val="22"/>
        </w:rPr>
        <w:t xml:space="preserve"> </w:t>
      </w:r>
      <w:r w:rsidR="00AA0AA0">
        <w:rPr>
          <w:sz w:val="22"/>
          <w:szCs w:val="22"/>
        </w:rPr>
        <w:t>Society</w:t>
      </w:r>
      <w:r w:rsidR="00500406" w:rsidRPr="001E4814">
        <w:rPr>
          <w:sz w:val="22"/>
          <w:szCs w:val="22"/>
        </w:rPr>
        <w:t xml:space="preserve">; </w:t>
      </w:r>
      <w:r w:rsidR="00446B2A" w:rsidRPr="001E4814">
        <w:rPr>
          <w:sz w:val="22"/>
          <w:szCs w:val="22"/>
        </w:rPr>
        <w:t xml:space="preserve">Sustainable Energy Futures; </w:t>
      </w:r>
      <w:r w:rsidR="00500406" w:rsidRPr="001E4814">
        <w:rPr>
          <w:sz w:val="22"/>
          <w:szCs w:val="22"/>
        </w:rPr>
        <w:t>Energy-Eff</w:t>
      </w:r>
      <w:r w:rsidR="00DC0EF6">
        <w:rPr>
          <w:sz w:val="22"/>
          <w:szCs w:val="22"/>
        </w:rPr>
        <w:t>ective</w:t>
      </w:r>
      <w:r w:rsidR="00500406" w:rsidRPr="001E4814">
        <w:rPr>
          <w:sz w:val="22"/>
          <w:szCs w:val="22"/>
        </w:rPr>
        <w:t xml:space="preserve"> Design; Energy Systems Analytics </w:t>
      </w:r>
      <w:r w:rsidR="00B57163">
        <w:rPr>
          <w:sz w:val="22"/>
          <w:szCs w:val="22"/>
        </w:rPr>
        <w:t>&amp;</w:t>
      </w:r>
      <w:r w:rsidR="00500406" w:rsidRPr="001E4814">
        <w:rPr>
          <w:sz w:val="22"/>
          <w:szCs w:val="22"/>
        </w:rPr>
        <w:t xml:space="preserve"> Control; Energy Storage </w:t>
      </w:r>
      <w:r w:rsidR="00A93EB2">
        <w:rPr>
          <w:sz w:val="22"/>
          <w:szCs w:val="22"/>
        </w:rPr>
        <w:t>Technology</w:t>
      </w:r>
      <w:r w:rsidR="00500406" w:rsidRPr="001E4814">
        <w:rPr>
          <w:sz w:val="22"/>
          <w:szCs w:val="22"/>
        </w:rPr>
        <w:t xml:space="preserve">; and, </w:t>
      </w:r>
      <w:r w:rsidR="0027530C">
        <w:rPr>
          <w:sz w:val="22"/>
          <w:szCs w:val="22"/>
        </w:rPr>
        <w:t>Fossil Fuels to Renewables</w:t>
      </w:r>
      <w:r w:rsidR="00500406" w:rsidRPr="00154CB8">
        <w:rPr>
          <w:sz w:val="22"/>
          <w:szCs w:val="22"/>
        </w:rPr>
        <w:t xml:space="preserve">.  </w:t>
      </w:r>
      <w:proofErr w:type="spellStart"/>
      <w:r w:rsidR="00500406" w:rsidRPr="00154CB8">
        <w:rPr>
          <w:sz w:val="22"/>
          <w:szCs w:val="22"/>
        </w:rPr>
        <w:t>IExE</w:t>
      </w:r>
      <w:proofErr w:type="spellEnd"/>
      <w:r w:rsidR="00500406" w:rsidRPr="00154CB8">
        <w:rPr>
          <w:sz w:val="22"/>
          <w:szCs w:val="22"/>
        </w:rPr>
        <w:t xml:space="preserve"> researchers </w:t>
      </w:r>
      <w:r w:rsidR="00AF1F91" w:rsidRPr="00154CB8">
        <w:rPr>
          <w:sz w:val="22"/>
          <w:szCs w:val="22"/>
        </w:rPr>
        <w:t xml:space="preserve">and scholars </w:t>
      </w:r>
      <w:r w:rsidR="00446B2A" w:rsidRPr="00154CB8">
        <w:rPr>
          <w:sz w:val="22"/>
          <w:szCs w:val="22"/>
        </w:rPr>
        <w:t xml:space="preserve">participate in the activities of </w:t>
      </w:r>
      <w:r w:rsidR="001E4814" w:rsidRPr="00154CB8">
        <w:rPr>
          <w:sz w:val="22"/>
          <w:szCs w:val="22"/>
        </w:rPr>
        <w:t>one or more of these</w:t>
      </w:r>
      <w:r w:rsidR="00500406" w:rsidRPr="00154CB8">
        <w:rPr>
          <w:sz w:val="22"/>
          <w:szCs w:val="22"/>
        </w:rPr>
        <w:t xml:space="preserve"> </w:t>
      </w:r>
      <w:r w:rsidR="00815227" w:rsidRPr="00154CB8">
        <w:rPr>
          <w:sz w:val="22"/>
          <w:szCs w:val="22"/>
        </w:rPr>
        <w:t>clusters</w:t>
      </w:r>
      <w:r w:rsidR="00500406" w:rsidRPr="00154CB8">
        <w:rPr>
          <w:sz w:val="22"/>
          <w:szCs w:val="22"/>
        </w:rPr>
        <w:t xml:space="preserve">, </w:t>
      </w:r>
      <w:r w:rsidR="00446B2A" w:rsidRPr="00154CB8">
        <w:rPr>
          <w:sz w:val="22"/>
          <w:szCs w:val="22"/>
        </w:rPr>
        <w:t xml:space="preserve">ensuring that a variety of multidisciplinary strategies are brought to bear on the many challenges of securing a sustainable energy future.  </w:t>
      </w:r>
      <w:r w:rsidR="00097E70" w:rsidRPr="00154CB8">
        <w:rPr>
          <w:sz w:val="22"/>
          <w:szCs w:val="22"/>
        </w:rPr>
        <w:t xml:space="preserve"> </w:t>
      </w:r>
    </w:p>
    <w:p w:rsidR="001E4814" w:rsidRPr="001E4814" w:rsidRDefault="001E4814" w:rsidP="001F6F39">
      <w:pPr>
        <w:jc w:val="both"/>
        <w:rPr>
          <w:sz w:val="22"/>
          <w:szCs w:val="22"/>
        </w:rPr>
      </w:pPr>
    </w:p>
    <w:p w:rsidR="001E4814" w:rsidRPr="001E4814" w:rsidRDefault="001E4814" w:rsidP="00AF1F91">
      <w:pPr>
        <w:jc w:val="both"/>
        <w:rPr>
          <w:bCs/>
          <w:sz w:val="22"/>
          <w:szCs w:val="22"/>
        </w:rPr>
      </w:pPr>
      <w:r w:rsidRPr="001E4814">
        <w:rPr>
          <w:bCs/>
          <w:sz w:val="22"/>
          <w:szCs w:val="22"/>
        </w:rPr>
        <w:t xml:space="preserve">The scope of each of the </w:t>
      </w:r>
      <w:r w:rsidR="00815227">
        <w:rPr>
          <w:bCs/>
          <w:sz w:val="22"/>
          <w:szCs w:val="22"/>
        </w:rPr>
        <w:t>clusters</w:t>
      </w:r>
      <w:r w:rsidRPr="001E4814">
        <w:rPr>
          <w:bCs/>
          <w:sz w:val="22"/>
          <w:szCs w:val="22"/>
        </w:rPr>
        <w:t xml:space="preserve"> is elaborated below.  </w:t>
      </w:r>
    </w:p>
    <w:p w:rsidR="001E4814" w:rsidRPr="001E4814" w:rsidRDefault="001E4814" w:rsidP="00AF1F91">
      <w:pPr>
        <w:jc w:val="both"/>
        <w:rPr>
          <w:bCs/>
          <w:i/>
          <w:sz w:val="22"/>
          <w:szCs w:val="22"/>
        </w:rPr>
      </w:pPr>
    </w:p>
    <w:p w:rsidR="00A17FFD" w:rsidRPr="00987D1C" w:rsidRDefault="00A17FFD" w:rsidP="001E4814">
      <w:pPr>
        <w:rPr>
          <w:bCs/>
          <w:i/>
          <w:sz w:val="22"/>
          <w:szCs w:val="22"/>
        </w:rPr>
      </w:pPr>
      <w:r w:rsidRPr="00987D1C">
        <w:rPr>
          <w:bCs/>
          <w:i/>
          <w:sz w:val="22"/>
          <w:szCs w:val="22"/>
        </w:rPr>
        <w:t>Energy</w:t>
      </w:r>
      <w:r w:rsidR="0027530C">
        <w:rPr>
          <w:bCs/>
          <w:i/>
          <w:sz w:val="22"/>
          <w:szCs w:val="22"/>
        </w:rPr>
        <w:t>, Environment</w:t>
      </w:r>
      <w:r w:rsidRPr="00987D1C">
        <w:rPr>
          <w:bCs/>
          <w:i/>
          <w:sz w:val="22"/>
          <w:szCs w:val="22"/>
        </w:rPr>
        <w:t xml:space="preserve"> </w:t>
      </w:r>
      <w:r w:rsidR="0027530C">
        <w:rPr>
          <w:bCs/>
          <w:i/>
          <w:sz w:val="22"/>
          <w:szCs w:val="22"/>
        </w:rPr>
        <w:t>&amp;</w:t>
      </w:r>
      <w:r w:rsidR="00AA0AA0" w:rsidRPr="00987D1C">
        <w:rPr>
          <w:bCs/>
          <w:i/>
          <w:sz w:val="22"/>
          <w:szCs w:val="22"/>
        </w:rPr>
        <w:t xml:space="preserve"> Society</w:t>
      </w:r>
    </w:p>
    <w:p w:rsidR="007F11DE" w:rsidRPr="001E4814" w:rsidRDefault="00AF1F91" w:rsidP="00AF1F91">
      <w:pPr>
        <w:pStyle w:val="ListParagraph"/>
        <w:ind w:left="0"/>
        <w:jc w:val="both"/>
        <w:rPr>
          <w:bCs/>
          <w:sz w:val="22"/>
          <w:szCs w:val="22"/>
        </w:rPr>
      </w:pPr>
      <w:r w:rsidRPr="001E4814">
        <w:rPr>
          <w:bCs/>
          <w:sz w:val="22"/>
          <w:szCs w:val="22"/>
        </w:rPr>
        <w:t>W</w:t>
      </w:r>
      <w:r w:rsidR="008509B6" w:rsidRPr="001E4814">
        <w:rPr>
          <w:bCs/>
          <w:sz w:val="22"/>
          <w:szCs w:val="22"/>
        </w:rPr>
        <w:t xml:space="preserve">e </w:t>
      </w:r>
      <w:r w:rsidR="00662ECC" w:rsidRPr="001E4814">
        <w:rPr>
          <w:bCs/>
          <w:sz w:val="22"/>
          <w:szCs w:val="22"/>
        </w:rPr>
        <w:t>find</w:t>
      </w:r>
      <w:r w:rsidR="00A17FFD" w:rsidRPr="001E4814">
        <w:rPr>
          <w:bCs/>
          <w:sz w:val="22"/>
          <w:szCs w:val="22"/>
        </w:rPr>
        <w:t xml:space="preserve"> </w:t>
      </w:r>
      <w:r w:rsidR="00625E70" w:rsidRPr="001E4814">
        <w:rPr>
          <w:bCs/>
          <w:sz w:val="22"/>
          <w:szCs w:val="22"/>
        </w:rPr>
        <w:t>our</w:t>
      </w:r>
      <w:r w:rsidR="00A17FFD" w:rsidRPr="001E4814">
        <w:rPr>
          <w:bCs/>
          <w:sz w:val="22"/>
          <w:szCs w:val="22"/>
        </w:rPr>
        <w:t xml:space="preserve">selves at a </w:t>
      </w:r>
      <w:r w:rsidR="007F11DE" w:rsidRPr="001E4814">
        <w:rPr>
          <w:bCs/>
          <w:sz w:val="22"/>
          <w:szCs w:val="22"/>
        </w:rPr>
        <w:t>crucial juncture</w:t>
      </w:r>
      <w:r w:rsidR="00CE642C" w:rsidRPr="001E4814">
        <w:rPr>
          <w:bCs/>
          <w:sz w:val="22"/>
          <w:szCs w:val="22"/>
        </w:rPr>
        <w:t xml:space="preserve"> with respect to</w:t>
      </w:r>
      <w:r w:rsidR="00A17FFD" w:rsidRPr="001E4814">
        <w:rPr>
          <w:bCs/>
          <w:sz w:val="22"/>
          <w:szCs w:val="22"/>
        </w:rPr>
        <w:t xml:space="preserve"> how </w:t>
      </w:r>
      <w:r w:rsidR="008509B6" w:rsidRPr="001E4814">
        <w:rPr>
          <w:bCs/>
          <w:sz w:val="22"/>
          <w:szCs w:val="22"/>
        </w:rPr>
        <w:t>we</w:t>
      </w:r>
      <w:r w:rsidR="00A17FFD" w:rsidRPr="001E4814">
        <w:rPr>
          <w:bCs/>
          <w:sz w:val="22"/>
          <w:szCs w:val="22"/>
        </w:rPr>
        <w:t xml:space="preserve"> generate, distribute and co</w:t>
      </w:r>
      <w:r w:rsidR="00CE642C" w:rsidRPr="001E4814">
        <w:rPr>
          <w:bCs/>
          <w:sz w:val="22"/>
          <w:szCs w:val="22"/>
        </w:rPr>
        <w:t>nsume energy</w:t>
      </w:r>
      <w:r w:rsidR="007F11DE" w:rsidRPr="001E4814">
        <w:rPr>
          <w:bCs/>
          <w:sz w:val="22"/>
          <w:szCs w:val="22"/>
        </w:rPr>
        <w:t xml:space="preserve"> in a world experiencing the impact of global climate change</w:t>
      </w:r>
      <w:r w:rsidR="00A17FFD" w:rsidRPr="001E4814">
        <w:rPr>
          <w:bCs/>
          <w:sz w:val="22"/>
          <w:szCs w:val="22"/>
        </w:rPr>
        <w:t>.  New</w:t>
      </w:r>
      <w:r w:rsidR="00446B2A" w:rsidRPr="001E4814">
        <w:rPr>
          <w:bCs/>
          <w:sz w:val="22"/>
          <w:szCs w:val="22"/>
        </w:rPr>
        <w:t xml:space="preserve"> </w:t>
      </w:r>
      <w:r w:rsidR="00A17FFD" w:rsidRPr="001E4814">
        <w:rPr>
          <w:bCs/>
          <w:sz w:val="22"/>
          <w:szCs w:val="22"/>
        </w:rPr>
        <w:t>energy sources are bei</w:t>
      </w:r>
      <w:r w:rsidR="00446B2A" w:rsidRPr="001E4814">
        <w:rPr>
          <w:bCs/>
          <w:sz w:val="22"/>
          <w:szCs w:val="22"/>
        </w:rPr>
        <w:t>ng discovered and developed</w:t>
      </w:r>
      <w:r w:rsidR="00B86199" w:rsidRPr="001E4814">
        <w:rPr>
          <w:bCs/>
          <w:sz w:val="22"/>
          <w:szCs w:val="22"/>
        </w:rPr>
        <w:t xml:space="preserve"> and their potential for reducing human and ecological harm must be assessed.  M</w:t>
      </w:r>
      <w:r w:rsidR="007F11DE" w:rsidRPr="001E4814">
        <w:rPr>
          <w:bCs/>
          <w:sz w:val="22"/>
          <w:szCs w:val="22"/>
        </w:rPr>
        <w:t>ore efficient</w:t>
      </w:r>
      <w:r w:rsidR="00A17FFD" w:rsidRPr="001E4814">
        <w:rPr>
          <w:bCs/>
          <w:sz w:val="22"/>
          <w:szCs w:val="22"/>
        </w:rPr>
        <w:t xml:space="preserve"> technologies for energy conservation</w:t>
      </w:r>
      <w:r w:rsidR="007F11DE" w:rsidRPr="001E4814">
        <w:rPr>
          <w:bCs/>
          <w:sz w:val="22"/>
          <w:szCs w:val="22"/>
        </w:rPr>
        <w:t xml:space="preserve"> </w:t>
      </w:r>
      <w:r w:rsidR="00A17FFD" w:rsidRPr="001E4814">
        <w:rPr>
          <w:bCs/>
          <w:sz w:val="22"/>
          <w:szCs w:val="22"/>
        </w:rPr>
        <w:t xml:space="preserve">are being </w:t>
      </w:r>
      <w:r w:rsidR="00B86199" w:rsidRPr="001E4814">
        <w:rPr>
          <w:bCs/>
          <w:sz w:val="22"/>
          <w:szCs w:val="22"/>
        </w:rPr>
        <w:t>devised</w:t>
      </w:r>
      <w:r w:rsidR="00A17FFD" w:rsidRPr="001E4814">
        <w:rPr>
          <w:bCs/>
          <w:sz w:val="22"/>
          <w:szCs w:val="22"/>
        </w:rPr>
        <w:t>, new forms of energy storage are being discovered, and debates about how to advance energy policy</w:t>
      </w:r>
      <w:r w:rsidR="007F11DE" w:rsidRPr="001E4814">
        <w:rPr>
          <w:bCs/>
          <w:sz w:val="22"/>
          <w:szCs w:val="22"/>
        </w:rPr>
        <w:t xml:space="preserve"> responsibly</w:t>
      </w:r>
      <w:r w:rsidR="00A17FFD" w:rsidRPr="001E4814">
        <w:rPr>
          <w:bCs/>
          <w:sz w:val="22"/>
          <w:szCs w:val="22"/>
        </w:rPr>
        <w:t xml:space="preserve"> </w:t>
      </w:r>
      <w:r w:rsidR="008A2432" w:rsidRPr="001E4814">
        <w:rPr>
          <w:bCs/>
          <w:sz w:val="22"/>
          <w:szCs w:val="22"/>
        </w:rPr>
        <w:t>are center-stage</w:t>
      </w:r>
      <w:r w:rsidR="00A17FFD" w:rsidRPr="001E4814">
        <w:rPr>
          <w:bCs/>
          <w:sz w:val="22"/>
          <w:szCs w:val="22"/>
        </w:rPr>
        <w:t xml:space="preserve"> at state, national and global levels. </w:t>
      </w:r>
      <w:r w:rsidR="000434CA" w:rsidRPr="001E4814">
        <w:rPr>
          <w:bCs/>
          <w:sz w:val="22"/>
          <w:szCs w:val="22"/>
        </w:rPr>
        <w:t xml:space="preserve">  </w:t>
      </w:r>
    </w:p>
    <w:p w:rsidR="007F11DE" w:rsidRPr="001E4814" w:rsidRDefault="007F11DE" w:rsidP="000434CA">
      <w:pPr>
        <w:pStyle w:val="ListParagraph"/>
        <w:spacing w:after="120"/>
        <w:ind w:left="0"/>
        <w:jc w:val="both"/>
        <w:rPr>
          <w:bCs/>
          <w:sz w:val="22"/>
          <w:szCs w:val="22"/>
        </w:rPr>
      </w:pPr>
    </w:p>
    <w:p w:rsidR="00A17FFD" w:rsidRPr="001E4814" w:rsidRDefault="00E25747" w:rsidP="007F11DE">
      <w:pPr>
        <w:pStyle w:val="ListParagraph"/>
        <w:spacing w:after="120"/>
        <w:ind w:left="0"/>
        <w:jc w:val="both"/>
        <w:rPr>
          <w:bCs/>
          <w:sz w:val="22"/>
          <w:szCs w:val="22"/>
        </w:rPr>
      </w:pPr>
      <w:r w:rsidRPr="001E4814">
        <w:rPr>
          <w:bCs/>
          <w:sz w:val="22"/>
          <w:szCs w:val="22"/>
        </w:rPr>
        <w:t>F</w:t>
      </w:r>
      <w:r w:rsidR="000434CA" w:rsidRPr="001E4814">
        <w:rPr>
          <w:bCs/>
          <w:sz w:val="22"/>
          <w:szCs w:val="22"/>
        </w:rPr>
        <w:t xml:space="preserve">aculty and students </w:t>
      </w:r>
      <w:r w:rsidR="007F11DE" w:rsidRPr="001E4814">
        <w:rPr>
          <w:bCs/>
          <w:sz w:val="22"/>
          <w:szCs w:val="22"/>
        </w:rPr>
        <w:t xml:space="preserve">in the </w:t>
      </w:r>
      <w:proofErr w:type="spellStart"/>
      <w:r w:rsidR="00815227">
        <w:rPr>
          <w:bCs/>
          <w:sz w:val="22"/>
          <w:szCs w:val="22"/>
        </w:rPr>
        <w:t>IExE</w:t>
      </w:r>
      <w:proofErr w:type="spellEnd"/>
      <w:r w:rsidR="00815227">
        <w:rPr>
          <w:bCs/>
          <w:sz w:val="22"/>
          <w:szCs w:val="22"/>
        </w:rPr>
        <w:t xml:space="preserve"> </w:t>
      </w:r>
      <w:r w:rsidR="0027530C">
        <w:rPr>
          <w:bCs/>
          <w:sz w:val="22"/>
          <w:szCs w:val="22"/>
        </w:rPr>
        <w:t xml:space="preserve">Energy, Environment &amp; Society </w:t>
      </w:r>
      <w:r w:rsidR="00815227">
        <w:rPr>
          <w:bCs/>
          <w:sz w:val="22"/>
          <w:szCs w:val="22"/>
        </w:rPr>
        <w:t xml:space="preserve">cluster </w:t>
      </w:r>
      <w:r w:rsidR="00FF7218">
        <w:rPr>
          <w:bCs/>
          <w:sz w:val="22"/>
          <w:szCs w:val="22"/>
        </w:rPr>
        <w:t xml:space="preserve">will </w:t>
      </w:r>
      <w:r w:rsidR="00AA0AA0">
        <w:rPr>
          <w:bCs/>
          <w:sz w:val="22"/>
          <w:szCs w:val="22"/>
        </w:rPr>
        <w:t>develop</w:t>
      </w:r>
      <w:r w:rsidR="000434CA" w:rsidRPr="001E4814">
        <w:rPr>
          <w:bCs/>
          <w:sz w:val="22"/>
          <w:szCs w:val="22"/>
        </w:rPr>
        <w:t xml:space="preserve"> objective, credible, data-driven analyses that i</w:t>
      </w:r>
      <w:r w:rsidR="000434CA" w:rsidRPr="001E4814">
        <w:rPr>
          <w:rFonts w:cs="Arial"/>
          <w:sz w:val="22"/>
          <w:szCs w:val="22"/>
        </w:rPr>
        <w:t xml:space="preserve">nform policymakers, </w:t>
      </w:r>
      <w:r w:rsidR="007F11DE" w:rsidRPr="001E4814">
        <w:rPr>
          <w:rFonts w:cs="Arial"/>
          <w:sz w:val="22"/>
          <w:szCs w:val="22"/>
        </w:rPr>
        <w:t>corporations</w:t>
      </w:r>
      <w:r w:rsidR="000434CA" w:rsidRPr="001E4814">
        <w:rPr>
          <w:rFonts w:cs="Arial"/>
          <w:sz w:val="22"/>
          <w:szCs w:val="22"/>
        </w:rPr>
        <w:t xml:space="preserve">, </w:t>
      </w:r>
      <w:r w:rsidR="00B86199" w:rsidRPr="001E4814">
        <w:rPr>
          <w:rFonts w:cs="Arial"/>
          <w:sz w:val="22"/>
          <w:szCs w:val="22"/>
        </w:rPr>
        <w:t xml:space="preserve">NGO’s </w:t>
      </w:r>
      <w:r w:rsidR="000434CA" w:rsidRPr="001E4814">
        <w:rPr>
          <w:rFonts w:cs="Arial"/>
          <w:sz w:val="22"/>
          <w:szCs w:val="22"/>
        </w:rPr>
        <w:t xml:space="preserve">and the </w:t>
      </w:r>
      <w:r w:rsidR="007F11DE" w:rsidRPr="001E4814">
        <w:rPr>
          <w:rFonts w:cs="Arial"/>
          <w:sz w:val="22"/>
          <w:szCs w:val="22"/>
        </w:rPr>
        <w:t xml:space="preserve">general </w:t>
      </w:r>
      <w:r w:rsidR="000434CA" w:rsidRPr="001E4814">
        <w:rPr>
          <w:rFonts w:cs="Arial"/>
          <w:sz w:val="22"/>
          <w:szCs w:val="22"/>
        </w:rPr>
        <w:t>public about energy-related issues.</w:t>
      </w:r>
      <w:r w:rsidR="007F11DE" w:rsidRPr="001E4814">
        <w:rPr>
          <w:bCs/>
          <w:sz w:val="22"/>
          <w:szCs w:val="22"/>
        </w:rPr>
        <w:t xml:space="preserve">  </w:t>
      </w:r>
      <w:r w:rsidR="000434CA" w:rsidRPr="001E4814">
        <w:rPr>
          <w:bCs/>
          <w:sz w:val="22"/>
          <w:szCs w:val="22"/>
        </w:rPr>
        <w:t xml:space="preserve">For example, </w:t>
      </w:r>
      <w:proofErr w:type="spellStart"/>
      <w:r w:rsidR="00CE642C" w:rsidRPr="001E4814">
        <w:rPr>
          <w:bCs/>
          <w:sz w:val="22"/>
          <w:szCs w:val="22"/>
        </w:rPr>
        <w:t>IExE</w:t>
      </w:r>
      <w:proofErr w:type="spellEnd"/>
      <w:r w:rsidR="00CE642C" w:rsidRPr="001E4814">
        <w:rPr>
          <w:bCs/>
          <w:sz w:val="22"/>
          <w:szCs w:val="22"/>
        </w:rPr>
        <w:t xml:space="preserve"> </w:t>
      </w:r>
      <w:r w:rsidR="007F11DE" w:rsidRPr="001E4814">
        <w:rPr>
          <w:bCs/>
          <w:sz w:val="22"/>
          <w:szCs w:val="22"/>
        </w:rPr>
        <w:t>teams</w:t>
      </w:r>
      <w:r w:rsidR="00CE642C" w:rsidRPr="001E4814">
        <w:rPr>
          <w:bCs/>
          <w:sz w:val="22"/>
          <w:szCs w:val="22"/>
        </w:rPr>
        <w:t xml:space="preserve"> </w:t>
      </w:r>
      <w:r w:rsidR="00FF7218">
        <w:rPr>
          <w:bCs/>
          <w:sz w:val="22"/>
          <w:szCs w:val="22"/>
        </w:rPr>
        <w:t xml:space="preserve">will </w:t>
      </w:r>
      <w:r w:rsidR="00AA0AA0">
        <w:rPr>
          <w:bCs/>
          <w:sz w:val="22"/>
          <w:szCs w:val="22"/>
        </w:rPr>
        <w:t>explore</w:t>
      </w:r>
      <w:r w:rsidR="008C5630" w:rsidRPr="001E4814">
        <w:rPr>
          <w:bCs/>
          <w:sz w:val="22"/>
          <w:szCs w:val="22"/>
        </w:rPr>
        <w:t xml:space="preserve"> issues such as</w:t>
      </w:r>
      <w:r w:rsidR="0018356D" w:rsidRPr="001E4814">
        <w:rPr>
          <w:bCs/>
          <w:sz w:val="22"/>
          <w:szCs w:val="22"/>
        </w:rPr>
        <w:t xml:space="preserve">: </w:t>
      </w:r>
      <w:r w:rsidR="008A2432" w:rsidRPr="001E4814">
        <w:rPr>
          <w:bCs/>
          <w:sz w:val="22"/>
          <w:szCs w:val="22"/>
        </w:rPr>
        <w:t xml:space="preserve">the roles state and federal laws, policies and regulations play in the development of new and existing energy sources; </w:t>
      </w:r>
      <w:r w:rsidR="00326AFF" w:rsidRPr="001E4814">
        <w:rPr>
          <w:bCs/>
          <w:sz w:val="22"/>
          <w:szCs w:val="22"/>
        </w:rPr>
        <w:t xml:space="preserve">the </w:t>
      </w:r>
      <w:r w:rsidR="00326AFF" w:rsidRPr="001E4814">
        <w:rPr>
          <w:rFonts w:cs="Verdana"/>
          <w:sz w:val="22"/>
          <w:szCs w:val="22"/>
        </w:rPr>
        <w:t>economic impact of climate change; the role of environmental quality in fostering growth in developing countries; the design of public policies based on rigorous economic analys</w:t>
      </w:r>
      <w:r w:rsidR="001E4814">
        <w:rPr>
          <w:rFonts w:cs="Verdana"/>
          <w:sz w:val="22"/>
          <w:szCs w:val="22"/>
        </w:rPr>
        <w:t>e</w:t>
      </w:r>
      <w:r w:rsidR="00326AFF" w:rsidRPr="001E4814">
        <w:rPr>
          <w:rFonts w:cs="Verdana"/>
          <w:sz w:val="22"/>
          <w:szCs w:val="22"/>
        </w:rPr>
        <w:t xml:space="preserve">s; </w:t>
      </w:r>
      <w:r w:rsidR="008A2432" w:rsidRPr="001E4814">
        <w:rPr>
          <w:bCs/>
          <w:sz w:val="22"/>
          <w:szCs w:val="22"/>
        </w:rPr>
        <w:t xml:space="preserve">how policies that lead to the development of renewable energy sources </w:t>
      </w:r>
      <w:r w:rsidR="0018356D" w:rsidRPr="001E4814">
        <w:rPr>
          <w:bCs/>
          <w:sz w:val="22"/>
          <w:szCs w:val="22"/>
        </w:rPr>
        <w:t xml:space="preserve">are created </w:t>
      </w:r>
      <w:r w:rsidR="008A2432" w:rsidRPr="001E4814">
        <w:rPr>
          <w:bCs/>
          <w:sz w:val="22"/>
          <w:szCs w:val="22"/>
        </w:rPr>
        <w:t xml:space="preserve">and how such policies spread or are shared; how national security interests, global climate accords, environmental movements, and other social factors impact energy policy; how </w:t>
      </w:r>
      <w:r w:rsidR="00446B2A" w:rsidRPr="001E4814">
        <w:rPr>
          <w:bCs/>
          <w:sz w:val="22"/>
          <w:szCs w:val="22"/>
        </w:rPr>
        <w:t xml:space="preserve">political </w:t>
      </w:r>
      <w:r w:rsidR="0018356D" w:rsidRPr="001E4814">
        <w:rPr>
          <w:bCs/>
          <w:sz w:val="22"/>
          <w:szCs w:val="22"/>
        </w:rPr>
        <w:t>movements</w:t>
      </w:r>
      <w:r w:rsidR="00446B2A" w:rsidRPr="001E4814">
        <w:rPr>
          <w:bCs/>
          <w:sz w:val="22"/>
          <w:szCs w:val="22"/>
        </w:rPr>
        <w:t xml:space="preserve"> such as those driven by concer</w:t>
      </w:r>
      <w:r w:rsidR="008509B6" w:rsidRPr="001E4814">
        <w:rPr>
          <w:bCs/>
          <w:sz w:val="22"/>
          <w:szCs w:val="22"/>
        </w:rPr>
        <w:t xml:space="preserve">ns about </w:t>
      </w:r>
      <w:r w:rsidR="00446B2A" w:rsidRPr="001E4814">
        <w:rPr>
          <w:bCs/>
          <w:sz w:val="22"/>
          <w:szCs w:val="22"/>
        </w:rPr>
        <w:t xml:space="preserve">the environmental impacts of nuclear waste disposal, oil pipelines, </w:t>
      </w:r>
      <w:proofErr w:type="spellStart"/>
      <w:r w:rsidR="00446B2A" w:rsidRPr="001E4814">
        <w:rPr>
          <w:bCs/>
          <w:sz w:val="22"/>
          <w:szCs w:val="22"/>
        </w:rPr>
        <w:t>fracking</w:t>
      </w:r>
      <w:proofErr w:type="spellEnd"/>
      <w:r w:rsidR="00446B2A" w:rsidRPr="001E4814">
        <w:rPr>
          <w:bCs/>
          <w:sz w:val="22"/>
          <w:szCs w:val="22"/>
        </w:rPr>
        <w:t>, and hydroelectric dams</w:t>
      </w:r>
      <w:r w:rsidR="0018356D" w:rsidRPr="001E4814">
        <w:rPr>
          <w:bCs/>
          <w:sz w:val="22"/>
          <w:szCs w:val="22"/>
        </w:rPr>
        <w:t xml:space="preserve"> affect the development </w:t>
      </w:r>
      <w:r w:rsidR="00446B2A" w:rsidRPr="001E4814">
        <w:rPr>
          <w:bCs/>
          <w:sz w:val="22"/>
          <w:szCs w:val="22"/>
        </w:rPr>
        <w:t>and adoption of energy sources</w:t>
      </w:r>
      <w:r w:rsidR="0018356D" w:rsidRPr="001E4814">
        <w:rPr>
          <w:bCs/>
          <w:sz w:val="22"/>
          <w:szCs w:val="22"/>
        </w:rPr>
        <w:t xml:space="preserve">; </w:t>
      </w:r>
      <w:r w:rsidR="00326AFF" w:rsidRPr="001E4814">
        <w:rPr>
          <w:bCs/>
          <w:sz w:val="22"/>
          <w:szCs w:val="22"/>
        </w:rPr>
        <w:t xml:space="preserve">how market approaches are used to regulate pollutants; </w:t>
      </w:r>
      <w:r w:rsidR="002A2258" w:rsidRPr="001E4814">
        <w:rPr>
          <w:bCs/>
          <w:sz w:val="22"/>
          <w:szCs w:val="22"/>
        </w:rPr>
        <w:t xml:space="preserve">how transport planning can be better integrated </w:t>
      </w:r>
      <w:r w:rsidR="007F11DE" w:rsidRPr="001E4814">
        <w:rPr>
          <w:bCs/>
          <w:sz w:val="22"/>
          <w:szCs w:val="22"/>
        </w:rPr>
        <w:t>with</w:t>
      </w:r>
      <w:r w:rsidR="002A2258" w:rsidRPr="001E4814">
        <w:rPr>
          <w:bCs/>
          <w:sz w:val="22"/>
          <w:szCs w:val="22"/>
        </w:rPr>
        <w:t xml:space="preserve"> the development of smart grids</w:t>
      </w:r>
      <w:r w:rsidR="00932824" w:rsidRPr="001E4814">
        <w:rPr>
          <w:bCs/>
          <w:sz w:val="22"/>
          <w:szCs w:val="22"/>
        </w:rPr>
        <w:t xml:space="preserve"> to improve the energy efficiency of both; and, examples of best practices in city and regional planning for energy efficiency and innovation.</w:t>
      </w:r>
    </w:p>
    <w:p w:rsidR="00A61667" w:rsidRPr="00154CB8" w:rsidRDefault="00A61667" w:rsidP="007F11DE">
      <w:pPr>
        <w:pStyle w:val="ListParagraph"/>
        <w:spacing w:after="120"/>
        <w:ind w:left="0"/>
        <w:jc w:val="both"/>
        <w:rPr>
          <w:bCs/>
          <w:sz w:val="22"/>
          <w:szCs w:val="22"/>
        </w:rPr>
      </w:pPr>
    </w:p>
    <w:p w:rsidR="00446B2A" w:rsidRPr="00987D1C" w:rsidRDefault="00A61667" w:rsidP="00E64686">
      <w:pPr>
        <w:jc w:val="both"/>
        <w:rPr>
          <w:bCs/>
          <w:i/>
          <w:sz w:val="22"/>
          <w:szCs w:val="22"/>
        </w:rPr>
      </w:pPr>
      <w:r w:rsidRPr="00987D1C">
        <w:rPr>
          <w:bCs/>
          <w:i/>
          <w:sz w:val="22"/>
          <w:szCs w:val="22"/>
        </w:rPr>
        <w:t>Sustainable Energy Futures</w:t>
      </w:r>
      <w:r w:rsidR="006F787D" w:rsidRPr="00987D1C">
        <w:rPr>
          <w:bCs/>
          <w:i/>
          <w:sz w:val="22"/>
          <w:szCs w:val="22"/>
        </w:rPr>
        <w:t xml:space="preserve"> </w:t>
      </w:r>
    </w:p>
    <w:p w:rsidR="00A61667" w:rsidRPr="001E4814" w:rsidRDefault="00A61667" w:rsidP="00446B2A">
      <w:pPr>
        <w:jc w:val="both"/>
        <w:rPr>
          <w:bCs/>
          <w:sz w:val="22"/>
          <w:szCs w:val="22"/>
        </w:rPr>
      </w:pPr>
      <w:r w:rsidRPr="001E4814">
        <w:rPr>
          <w:sz w:val="22"/>
          <w:szCs w:val="22"/>
        </w:rPr>
        <w:t xml:space="preserve">The </w:t>
      </w:r>
      <w:proofErr w:type="spellStart"/>
      <w:r w:rsidRPr="001E4814">
        <w:rPr>
          <w:sz w:val="22"/>
          <w:szCs w:val="22"/>
        </w:rPr>
        <w:t>IExE</w:t>
      </w:r>
      <w:proofErr w:type="spellEnd"/>
      <w:r w:rsidRPr="001E4814">
        <w:rPr>
          <w:sz w:val="22"/>
          <w:szCs w:val="22"/>
        </w:rPr>
        <w:t xml:space="preserve"> seeks to inform and shape the creation of an ecologically-responsible</w:t>
      </w:r>
      <w:r w:rsidR="00446B2A" w:rsidRPr="001E4814">
        <w:rPr>
          <w:sz w:val="22"/>
          <w:szCs w:val="22"/>
        </w:rPr>
        <w:t>, sustainable</w:t>
      </w:r>
      <w:r w:rsidRPr="001E4814">
        <w:rPr>
          <w:sz w:val="22"/>
          <w:szCs w:val="22"/>
        </w:rPr>
        <w:t xml:space="preserve"> energy future that balances energy production and consumption for the benefit of both </w:t>
      </w:r>
      <w:r w:rsidR="00B86199" w:rsidRPr="001E4814">
        <w:rPr>
          <w:sz w:val="22"/>
          <w:szCs w:val="22"/>
        </w:rPr>
        <w:t>Humankind</w:t>
      </w:r>
      <w:r w:rsidRPr="001E4814">
        <w:rPr>
          <w:sz w:val="22"/>
          <w:szCs w:val="22"/>
        </w:rPr>
        <w:t xml:space="preserve"> and Nature.   Instrumental in doing so is the assessment of the sustainability of all possible energy future scenarios, and the </w:t>
      </w:r>
      <w:r w:rsidR="00446B2A" w:rsidRPr="001E4814">
        <w:rPr>
          <w:sz w:val="22"/>
          <w:szCs w:val="22"/>
        </w:rPr>
        <w:t xml:space="preserve">identification of the subsequent </w:t>
      </w:r>
      <w:r w:rsidRPr="001E4814">
        <w:rPr>
          <w:sz w:val="22"/>
          <w:szCs w:val="22"/>
        </w:rPr>
        <w:t xml:space="preserve">environmental consequences of each.  </w:t>
      </w:r>
    </w:p>
    <w:p w:rsidR="00446B2A" w:rsidRPr="001E4814" w:rsidRDefault="00446B2A" w:rsidP="00446B2A">
      <w:pPr>
        <w:widowControl w:val="0"/>
        <w:autoSpaceDE w:val="0"/>
        <w:autoSpaceDN w:val="0"/>
        <w:adjustRightInd w:val="0"/>
        <w:jc w:val="both"/>
        <w:rPr>
          <w:sz w:val="22"/>
          <w:szCs w:val="22"/>
        </w:rPr>
      </w:pPr>
    </w:p>
    <w:p w:rsidR="00236F55" w:rsidRPr="001E4814" w:rsidRDefault="00815227" w:rsidP="00CB7504">
      <w:pPr>
        <w:widowControl w:val="0"/>
        <w:autoSpaceDE w:val="0"/>
        <w:autoSpaceDN w:val="0"/>
        <w:adjustRightInd w:val="0"/>
        <w:jc w:val="both"/>
        <w:rPr>
          <w:rFonts w:cs="Times New Roman"/>
          <w:sz w:val="22"/>
          <w:szCs w:val="22"/>
        </w:rPr>
      </w:pPr>
      <w:proofErr w:type="spellStart"/>
      <w:r>
        <w:rPr>
          <w:sz w:val="22"/>
          <w:szCs w:val="22"/>
        </w:rPr>
        <w:t>IExE</w:t>
      </w:r>
      <w:proofErr w:type="spellEnd"/>
      <w:r w:rsidR="00A61667" w:rsidRPr="001E4814">
        <w:rPr>
          <w:sz w:val="22"/>
          <w:szCs w:val="22"/>
        </w:rPr>
        <w:t xml:space="preserve"> Sustainable Energy Futures </w:t>
      </w:r>
      <w:r w:rsidR="00FF7218">
        <w:rPr>
          <w:sz w:val="22"/>
          <w:szCs w:val="22"/>
        </w:rPr>
        <w:t>faculty and students</w:t>
      </w:r>
      <w:r>
        <w:rPr>
          <w:sz w:val="22"/>
          <w:szCs w:val="22"/>
        </w:rPr>
        <w:t xml:space="preserve"> </w:t>
      </w:r>
      <w:r w:rsidR="00FF7218">
        <w:rPr>
          <w:sz w:val="22"/>
          <w:szCs w:val="22"/>
        </w:rPr>
        <w:t>will conduct</w:t>
      </w:r>
      <w:r w:rsidR="00A61667" w:rsidRPr="001E4814">
        <w:rPr>
          <w:sz w:val="22"/>
          <w:szCs w:val="22"/>
        </w:rPr>
        <w:t xml:space="preserve"> holistic evaluations of energy futures</w:t>
      </w:r>
      <w:r w:rsidR="002C47CE" w:rsidRPr="001E4814">
        <w:rPr>
          <w:sz w:val="22"/>
          <w:szCs w:val="22"/>
        </w:rPr>
        <w:t>, with the goal of reducing the negative environmental and human health consequences of each</w:t>
      </w:r>
      <w:r w:rsidR="00A61667" w:rsidRPr="001E4814">
        <w:rPr>
          <w:sz w:val="22"/>
          <w:szCs w:val="22"/>
        </w:rPr>
        <w:t>.</w:t>
      </w:r>
      <w:r w:rsidR="00A61667" w:rsidRPr="001E4814">
        <w:rPr>
          <w:rFonts w:cs="Times New Roman"/>
          <w:color w:val="000000"/>
          <w:sz w:val="22"/>
          <w:szCs w:val="22"/>
        </w:rPr>
        <w:t xml:space="preserve">  </w:t>
      </w:r>
      <w:r w:rsidR="00A61667" w:rsidRPr="001E4814">
        <w:rPr>
          <w:rFonts w:cs="Times New Roman"/>
          <w:sz w:val="22"/>
          <w:szCs w:val="22"/>
        </w:rPr>
        <w:t xml:space="preserve">Fundamental to this work is the comprehensive analysis of the full </w:t>
      </w:r>
      <w:r w:rsidR="002C47CE" w:rsidRPr="001E4814">
        <w:rPr>
          <w:rFonts w:cs="Times New Roman"/>
          <w:sz w:val="22"/>
          <w:szCs w:val="22"/>
        </w:rPr>
        <w:t xml:space="preserve">energy lifecycle - </w:t>
      </w:r>
      <w:r w:rsidR="00A61667" w:rsidRPr="001E4814">
        <w:rPr>
          <w:rFonts w:cs="Times New Roman"/>
          <w:sz w:val="22"/>
          <w:szCs w:val="22"/>
        </w:rPr>
        <w:t xml:space="preserve">production to end-use.  </w:t>
      </w:r>
      <w:r w:rsidR="00CB7504" w:rsidRPr="001E4814">
        <w:rPr>
          <w:rFonts w:cs="Times New Roman"/>
          <w:sz w:val="22"/>
          <w:szCs w:val="22"/>
        </w:rPr>
        <w:t xml:space="preserve"> </w:t>
      </w:r>
      <w:proofErr w:type="spellStart"/>
      <w:r w:rsidR="00A61667" w:rsidRPr="001E4814">
        <w:rPr>
          <w:rFonts w:cs="Times New Roman"/>
          <w:sz w:val="22"/>
          <w:szCs w:val="22"/>
        </w:rPr>
        <w:t>IExE</w:t>
      </w:r>
      <w:proofErr w:type="spellEnd"/>
      <w:r w:rsidR="00A61667" w:rsidRPr="001E4814">
        <w:rPr>
          <w:rFonts w:cs="Times New Roman"/>
          <w:sz w:val="22"/>
          <w:szCs w:val="22"/>
        </w:rPr>
        <w:t xml:space="preserve"> faculty and student teams </w:t>
      </w:r>
      <w:r w:rsidR="00FF7218">
        <w:rPr>
          <w:rFonts w:cs="Times New Roman"/>
          <w:sz w:val="22"/>
          <w:szCs w:val="22"/>
        </w:rPr>
        <w:t>will</w:t>
      </w:r>
      <w:r w:rsidR="002C47CE" w:rsidRPr="001E4814">
        <w:rPr>
          <w:rFonts w:cs="Times New Roman"/>
          <w:sz w:val="22"/>
          <w:szCs w:val="22"/>
        </w:rPr>
        <w:t xml:space="preserve">, for example, </w:t>
      </w:r>
      <w:r w:rsidR="00FF7218">
        <w:rPr>
          <w:rFonts w:cs="Times New Roman"/>
          <w:sz w:val="22"/>
          <w:szCs w:val="22"/>
        </w:rPr>
        <w:t>develop</w:t>
      </w:r>
      <w:r w:rsidR="00A61667" w:rsidRPr="001E4814">
        <w:rPr>
          <w:rFonts w:cs="Times New Roman"/>
          <w:sz w:val="22"/>
          <w:szCs w:val="22"/>
        </w:rPr>
        <w:t xml:space="preserve"> new instrumentation and methods to measure and assess pollutant lifecycle from source to </w:t>
      </w:r>
      <w:r w:rsidR="00B86199" w:rsidRPr="001E4814">
        <w:rPr>
          <w:rFonts w:cs="Times New Roman"/>
          <w:sz w:val="22"/>
          <w:szCs w:val="22"/>
        </w:rPr>
        <w:t>receptor</w:t>
      </w:r>
      <w:r w:rsidR="00FF7218">
        <w:rPr>
          <w:rFonts w:cs="Times New Roman"/>
          <w:sz w:val="22"/>
          <w:szCs w:val="22"/>
        </w:rPr>
        <w:t>; determine</w:t>
      </w:r>
      <w:r w:rsidR="00A61667" w:rsidRPr="001E4814">
        <w:rPr>
          <w:rFonts w:cs="Times New Roman"/>
          <w:sz w:val="22"/>
          <w:szCs w:val="22"/>
        </w:rPr>
        <w:t xml:space="preserve"> pollutant pathways, the dynamic partitioning, chemical and biol</w:t>
      </w:r>
      <w:r w:rsidR="00FF7218">
        <w:rPr>
          <w:rFonts w:cs="Times New Roman"/>
          <w:sz w:val="22"/>
          <w:szCs w:val="22"/>
        </w:rPr>
        <w:t xml:space="preserve">ogical transformations, and </w:t>
      </w:r>
      <w:r w:rsidR="00A61667" w:rsidRPr="001E4814">
        <w:rPr>
          <w:rFonts w:cs="Times New Roman"/>
          <w:sz w:val="22"/>
          <w:szCs w:val="22"/>
        </w:rPr>
        <w:t>changes in potency of i</w:t>
      </w:r>
      <w:r w:rsidR="00FF7218">
        <w:rPr>
          <w:rFonts w:cs="Times New Roman"/>
          <w:sz w:val="22"/>
          <w:szCs w:val="22"/>
        </w:rPr>
        <w:t>dentified pollutants; develop</w:t>
      </w:r>
      <w:r w:rsidR="00A61667" w:rsidRPr="001E4814">
        <w:rPr>
          <w:rFonts w:cs="Times New Roman"/>
          <w:sz w:val="22"/>
          <w:szCs w:val="22"/>
        </w:rPr>
        <w:t xml:space="preserve"> multi-scale, multi-media models of pollutants in the environment  to project future impacts and compare altern</w:t>
      </w:r>
      <w:r w:rsidR="00FF7218">
        <w:rPr>
          <w:rFonts w:cs="Times New Roman"/>
          <w:sz w:val="22"/>
          <w:szCs w:val="22"/>
        </w:rPr>
        <w:t>ative policy scenarios; apply</w:t>
      </w:r>
      <w:r w:rsidR="00A61667" w:rsidRPr="001E4814">
        <w:rPr>
          <w:rFonts w:cs="Times New Roman"/>
          <w:sz w:val="22"/>
          <w:szCs w:val="22"/>
        </w:rPr>
        <w:t xml:space="preserve"> fundamental knowledge of toxicology and risk assessment to address the estimated impacts o</w:t>
      </w:r>
      <w:r w:rsidR="00F86D00" w:rsidRPr="001E4814">
        <w:rPr>
          <w:rFonts w:cs="Times New Roman"/>
          <w:sz w:val="22"/>
          <w:szCs w:val="22"/>
        </w:rPr>
        <w:t xml:space="preserve">n affected populations, </w:t>
      </w:r>
      <w:r w:rsidR="00A61667" w:rsidRPr="001E4814">
        <w:rPr>
          <w:rFonts w:cs="Times New Roman"/>
          <w:sz w:val="22"/>
          <w:szCs w:val="22"/>
        </w:rPr>
        <w:t>including sensitive</w:t>
      </w:r>
      <w:r w:rsidR="00F86D00" w:rsidRPr="001E4814">
        <w:rPr>
          <w:rFonts w:cs="Times New Roman"/>
          <w:sz w:val="22"/>
          <w:szCs w:val="22"/>
        </w:rPr>
        <w:t xml:space="preserve"> and susceptible subpopulations</w:t>
      </w:r>
      <w:r w:rsidR="00FF7218">
        <w:rPr>
          <w:rFonts w:cs="Times New Roman"/>
          <w:sz w:val="22"/>
          <w:szCs w:val="22"/>
        </w:rPr>
        <w:t>; conduct</w:t>
      </w:r>
      <w:r w:rsidR="00A61667" w:rsidRPr="001E4814">
        <w:rPr>
          <w:rFonts w:cs="Times New Roman"/>
          <w:sz w:val="22"/>
          <w:szCs w:val="22"/>
        </w:rPr>
        <w:t xml:space="preserve"> assessments of ecological health impacts, including  eco</w:t>
      </w:r>
      <w:r w:rsidR="00F86D00" w:rsidRPr="001E4814">
        <w:rPr>
          <w:rFonts w:cs="Times New Roman"/>
          <w:sz w:val="22"/>
          <w:szCs w:val="22"/>
        </w:rPr>
        <w:t>-</w:t>
      </w:r>
      <w:r w:rsidR="00A61667" w:rsidRPr="001E4814">
        <w:rPr>
          <w:rFonts w:cs="Times New Roman"/>
          <w:sz w:val="22"/>
          <w:szCs w:val="22"/>
        </w:rPr>
        <w:t xml:space="preserve">toxicology, ecological risk assessment, and </w:t>
      </w:r>
      <w:r w:rsidR="00FF7218">
        <w:rPr>
          <w:rFonts w:cs="Times New Roman"/>
          <w:sz w:val="22"/>
          <w:szCs w:val="22"/>
        </w:rPr>
        <w:t>habitat fragmentation; assess</w:t>
      </w:r>
      <w:r w:rsidR="00A61667" w:rsidRPr="001E4814">
        <w:rPr>
          <w:rFonts w:cs="Times New Roman"/>
          <w:sz w:val="22"/>
          <w:szCs w:val="22"/>
        </w:rPr>
        <w:t xml:space="preserve"> the environmental impacts of construction  associated with en</w:t>
      </w:r>
      <w:r w:rsidR="00FF7218">
        <w:rPr>
          <w:rFonts w:cs="Times New Roman"/>
          <w:sz w:val="22"/>
          <w:szCs w:val="22"/>
        </w:rPr>
        <w:t>ergy development; and, conduct</w:t>
      </w:r>
      <w:r w:rsidR="00A61667" w:rsidRPr="001E4814">
        <w:rPr>
          <w:rFonts w:cs="Times New Roman"/>
          <w:sz w:val="22"/>
          <w:szCs w:val="22"/>
        </w:rPr>
        <w:t xml:space="preserve"> </w:t>
      </w:r>
      <w:r w:rsidR="00A61667" w:rsidRPr="001E4814">
        <w:rPr>
          <w:sz w:val="22"/>
          <w:szCs w:val="22"/>
        </w:rPr>
        <w:t>lifecycle assessment and decision analysis.</w:t>
      </w:r>
    </w:p>
    <w:p w:rsidR="00236F55" w:rsidRPr="001E4814" w:rsidRDefault="00236F55" w:rsidP="00A61667">
      <w:pPr>
        <w:jc w:val="both"/>
        <w:rPr>
          <w:sz w:val="22"/>
          <w:szCs w:val="22"/>
        </w:rPr>
      </w:pPr>
    </w:p>
    <w:p w:rsidR="00236F55" w:rsidRPr="00987D1C" w:rsidRDefault="00236F55" w:rsidP="00E64686">
      <w:pPr>
        <w:jc w:val="both"/>
        <w:rPr>
          <w:bCs/>
          <w:i/>
          <w:sz w:val="22"/>
          <w:szCs w:val="22"/>
        </w:rPr>
      </w:pPr>
      <w:r w:rsidRPr="00987D1C">
        <w:rPr>
          <w:bCs/>
          <w:i/>
          <w:sz w:val="22"/>
          <w:szCs w:val="22"/>
        </w:rPr>
        <w:t>Energy-Eff</w:t>
      </w:r>
      <w:r w:rsidR="00EF4384">
        <w:rPr>
          <w:bCs/>
          <w:i/>
          <w:sz w:val="22"/>
          <w:szCs w:val="22"/>
        </w:rPr>
        <w:t>ective</w:t>
      </w:r>
      <w:r w:rsidRPr="00987D1C">
        <w:rPr>
          <w:bCs/>
          <w:i/>
          <w:sz w:val="22"/>
          <w:szCs w:val="22"/>
        </w:rPr>
        <w:t xml:space="preserve"> Design </w:t>
      </w:r>
    </w:p>
    <w:p w:rsidR="00405D47" w:rsidRPr="00EF4384" w:rsidRDefault="00EF4384" w:rsidP="003B0F98">
      <w:pPr>
        <w:jc w:val="both"/>
        <w:rPr>
          <w:rFonts w:cs="Times New Roman"/>
          <w:bCs/>
          <w:sz w:val="22"/>
          <w:szCs w:val="22"/>
        </w:rPr>
      </w:pPr>
      <w:r w:rsidRPr="00EF4384">
        <w:rPr>
          <w:rFonts w:cs="Times New Roman"/>
          <w:sz w:val="22"/>
          <w:szCs w:val="22"/>
        </w:rPr>
        <w:t xml:space="preserve">The </w:t>
      </w:r>
      <w:proofErr w:type="spellStart"/>
      <w:r w:rsidRPr="00EF4384">
        <w:rPr>
          <w:rFonts w:cs="Times New Roman"/>
          <w:sz w:val="22"/>
          <w:szCs w:val="22"/>
        </w:rPr>
        <w:t>IExE</w:t>
      </w:r>
      <w:proofErr w:type="spellEnd"/>
      <w:r w:rsidRPr="00EF4384">
        <w:rPr>
          <w:rFonts w:cs="Times New Roman"/>
          <w:sz w:val="22"/>
          <w:szCs w:val="22"/>
        </w:rPr>
        <w:t xml:space="preserve"> seeks to develop tools, technologies and processes to reduce energy consumption in the built environment </w:t>
      </w:r>
      <w:r>
        <w:rPr>
          <w:rFonts w:cs="Times New Roman"/>
          <w:sz w:val="22"/>
          <w:szCs w:val="22"/>
        </w:rPr>
        <w:t>while at the same time</w:t>
      </w:r>
      <w:r w:rsidRPr="00EF4384">
        <w:rPr>
          <w:rFonts w:cs="Times New Roman"/>
          <w:sz w:val="22"/>
          <w:szCs w:val="22"/>
        </w:rPr>
        <w:t xml:space="preserve"> promot</w:t>
      </w:r>
      <w:r>
        <w:rPr>
          <w:rFonts w:cs="Times New Roman"/>
          <w:sz w:val="22"/>
          <w:szCs w:val="22"/>
        </w:rPr>
        <w:t>ing</w:t>
      </w:r>
      <w:r w:rsidRPr="00EF4384">
        <w:rPr>
          <w:rFonts w:cs="Times New Roman"/>
          <w:sz w:val="22"/>
          <w:szCs w:val="22"/>
        </w:rPr>
        <w:t xml:space="preserve"> building occupant health and wellbeing. </w:t>
      </w:r>
      <w:r w:rsidR="00236F55" w:rsidRPr="00EF4384">
        <w:rPr>
          <w:rFonts w:cs="Times New Roman"/>
          <w:bCs/>
          <w:sz w:val="22"/>
          <w:szCs w:val="22"/>
        </w:rPr>
        <w:t xml:space="preserve">According to the US Energy Information Administration, the building sector consumes nearly half (48.7%) of all energy produced in the US – about the same amount of energy consumed by transportation (28.1%) and industry (23.2%) together.   </w:t>
      </w:r>
    </w:p>
    <w:p w:rsidR="00236F55" w:rsidRPr="00EF4384" w:rsidRDefault="00236F55" w:rsidP="00405D47">
      <w:pPr>
        <w:jc w:val="both"/>
        <w:rPr>
          <w:bCs/>
          <w:sz w:val="22"/>
          <w:szCs w:val="22"/>
        </w:rPr>
      </w:pPr>
    </w:p>
    <w:p w:rsidR="00A61667" w:rsidRPr="00815227" w:rsidRDefault="00236F55" w:rsidP="00EF4384">
      <w:pPr>
        <w:rPr>
          <w:sz w:val="22"/>
          <w:szCs w:val="22"/>
        </w:rPr>
      </w:pPr>
      <w:r w:rsidRPr="00EF4384">
        <w:rPr>
          <w:sz w:val="22"/>
          <w:szCs w:val="22"/>
        </w:rPr>
        <w:t>Motivated to</w:t>
      </w:r>
      <w:r w:rsidRPr="00EF4384">
        <w:rPr>
          <w:bCs/>
          <w:sz w:val="22"/>
          <w:szCs w:val="22"/>
        </w:rPr>
        <w:t xml:space="preserve"> reduce energy demand through energy efficiency improvements, to effect </w:t>
      </w:r>
      <w:r w:rsidR="007A6F96">
        <w:rPr>
          <w:bCs/>
          <w:sz w:val="22"/>
          <w:szCs w:val="22"/>
        </w:rPr>
        <w:t xml:space="preserve">consumer </w:t>
      </w:r>
      <w:r w:rsidRPr="00EF4384">
        <w:rPr>
          <w:bCs/>
          <w:sz w:val="22"/>
          <w:szCs w:val="22"/>
        </w:rPr>
        <w:t>behavior change, and to improve systems and technology performance,</w:t>
      </w:r>
      <w:r w:rsidRPr="00EF4384">
        <w:rPr>
          <w:sz w:val="22"/>
          <w:szCs w:val="22"/>
        </w:rPr>
        <w:t xml:space="preserve"> </w:t>
      </w:r>
      <w:proofErr w:type="spellStart"/>
      <w:r w:rsidRPr="00EF4384">
        <w:rPr>
          <w:sz w:val="22"/>
          <w:szCs w:val="22"/>
        </w:rPr>
        <w:t>IExE</w:t>
      </w:r>
      <w:proofErr w:type="spellEnd"/>
      <w:r w:rsidRPr="00EF4384">
        <w:rPr>
          <w:sz w:val="22"/>
          <w:szCs w:val="22"/>
        </w:rPr>
        <w:t xml:space="preserve"> </w:t>
      </w:r>
      <w:r w:rsidR="00EF4384">
        <w:rPr>
          <w:sz w:val="22"/>
          <w:szCs w:val="22"/>
        </w:rPr>
        <w:t>researchers</w:t>
      </w:r>
      <w:r w:rsidR="00EF4384" w:rsidRPr="00EF4384">
        <w:rPr>
          <w:sz w:val="22"/>
          <w:szCs w:val="22"/>
        </w:rPr>
        <w:t xml:space="preserve"> in the Energy-Effective Design</w:t>
      </w:r>
      <w:r w:rsidRPr="00EF4384">
        <w:rPr>
          <w:sz w:val="22"/>
          <w:szCs w:val="22"/>
        </w:rPr>
        <w:t xml:space="preserve"> </w:t>
      </w:r>
      <w:r w:rsidR="00815227" w:rsidRPr="00EF4384">
        <w:rPr>
          <w:sz w:val="22"/>
          <w:szCs w:val="22"/>
        </w:rPr>
        <w:t xml:space="preserve">cluster </w:t>
      </w:r>
      <w:r w:rsidR="00FF7218">
        <w:rPr>
          <w:sz w:val="22"/>
          <w:szCs w:val="22"/>
        </w:rPr>
        <w:t>will</w:t>
      </w:r>
      <w:r w:rsidRPr="00EF4384">
        <w:rPr>
          <w:sz w:val="22"/>
          <w:szCs w:val="22"/>
        </w:rPr>
        <w:t xml:space="preserve">: </w:t>
      </w:r>
      <w:r w:rsidR="00FF7218">
        <w:rPr>
          <w:sz w:val="22"/>
          <w:szCs w:val="22"/>
        </w:rPr>
        <w:t>explore</w:t>
      </w:r>
      <w:r w:rsidR="00EF4384" w:rsidRPr="00EF4384">
        <w:rPr>
          <w:sz w:val="22"/>
          <w:szCs w:val="22"/>
        </w:rPr>
        <w:t xml:space="preserve"> novel building materials such as low-carbon emis</w:t>
      </w:r>
      <w:r w:rsidR="00FF7218">
        <w:rPr>
          <w:sz w:val="22"/>
          <w:szCs w:val="22"/>
        </w:rPr>
        <w:t>sion concrete; study</w:t>
      </w:r>
      <w:r w:rsidR="00EF4384" w:rsidRPr="00EF4384">
        <w:rPr>
          <w:sz w:val="22"/>
          <w:szCs w:val="22"/>
        </w:rPr>
        <w:t xml:space="preserve"> the complex interactions of the chemistry of building components, building inhabitants, and outdoor air and their impact on indoor air quality and the health and we</w:t>
      </w:r>
      <w:r w:rsidR="00FF7218">
        <w:rPr>
          <w:sz w:val="22"/>
          <w:szCs w:val="22"/>
        </w:rPr>
        <w:t>llbeing of occupants; develop</w:t>
      </w:r>
      <w:r w:rsidR="00EF4384" w:rsidRPr="00EF4384">
        <w:rPr>
          <w:sz w:val="22"/>
          <w:szCs w:val="22"/>
        </w:rPr>
        <w:t xml:space="preserve"> new building operational strategies that save energy while improving indoor en</w:t>
      </w:r>
      <w:r w:rsidR="00FF7218">
        <w:rPr>
          <w:sz w:val="22"/>
          <w:szCs w:val="22"/>
        </w:rPr>
        <w:t>vironmental quality; identify</w:t>
      </w:r>
      <w:r w:rsidR="00EF4384" w:rsidRPr="00EF4384">
        <w:rPr>
          <w:sz w:val="22"/>
          <w:szCs w:val="22"/>
        </w:rPr>
        <w:t xml:space="preserve"> poorly performing building system components using low-cost sensor and data </w:t>
      </w:r>
      <w:r w:rsidR="00FF7218">
        <w:rPr>
          <w:sz w:val="22"/>
          <w:szCs w:val="22"/>
        </w:rPr>
        <w:t>analysis techniques; discover</w:t>
      </w:r>
      <w:r w:rsidR="00EF4384" w:rsidRPr="00EF4384">
        <w:rPr>
          <w:sz w:val="22"/>
          <w:szCs w:val="22"/>
        </w:rPr>
        <w:t xml:space="preserve"> environmental criteria that e</w:t>
      </w:r>
      <w:r w:rsidR="00FF7218">
        <w:rPr>
          <w:sz w:val="22"/>
          <w:szCs w:val="22"/>
        </w:rPr>
        <w:t>nhance human wellbeing; build</w:t>
      </w:r>
      <w:r w:rsidR="00EF4384" w:rsidRPr="00EF4384">
        <w:rPr>
          <w:sz w:val="22"/>
          <w:szCs w:val="22"/>
        </w:rPr>
        <w:t xml:space="preserve"> social resilience for cli</w:t>
      </w:r>
      <w:r w:rsidR="00FF7218">
        <w:rPr>
          <w:sz w:val="22"/>
          <w:szCs w:val="22"/>
        </w:rPr>
        <w:t>mate disruption; and, develop</w:t>
      </w:r>
      <w:r w:rsidR="00EF4384" w:rsidRPr="00EF4384">
        <w:rPr>
          <w:sz w:val="22"/>
          <w:szCs w:val="22"/>
        </w:rPr>
        <w:t xml:space="preserve"> new dynamic building envelope systems that respond to changes in the natural environment to conserve energy.</w:t>
      </w:r>
    </w:p>
    <w:p w:rsidR="00A17FFD" w:rsidRPr="001E4814" w:rsidRDefault="00A17FFD" w:rsidP="001068BE">
      <w:pPr>
        <w:pStyle w:val="ListParagraph"/>
        <w:jc w:val="both"/>
        <w:rPr>
          <w:bCs/>
          <w:sz w:val="22"/>
          <w:szCs w:val="22"/>
        </w:rPr>
      </w:pPr>
    </w:p>
    <w:p w:rsidR="00E5615F" w:rsidRPr="00987D1C" w:rsidRDefault="00413B1E" w:rsidP="00E64686">
      <w:pPr>
        <w:jc w:val="both"/>
        <w:rPr>
          <w:bCs/>
          <w:i/>
          <w:sz w:val="22"/>
          <w:szCs w:val="22"/>
        </w:rPr>
      </w:pPr>
      <w:r w:rsidRPr="00987D1C">
        <w:rPr>
          <w:bCs/>
          <w:i/>
          <w:sz w:val="22"/>
          <w:szCs w:val="22"/>
        </w:rPr>
        <w:t>Energy Systems</w:t>
      </w:r>
      <w:r w:rsidR="00E5615F" w:rsidRPr="00987D1C">
        <w:rPr>
          <w:bCs/>
          <w:i/>
          <w:sz w:val="22"/>
          <w:szCs w:val="22"/>
        </w:rPr>
        <w:t xml:space="preserve"> A</w:t>
      </w:r>
      <w:r w:rsidR="002C47CE" w:rsidRPr="00987D1C">
        <w:rPr>
          <w:bCs/>
          <w:i/>
          <w:sz w:val="22"/>
          <w:szCs w:val="22"/>
        </w:rPr>
        <w:t xml:space="preserve">nalytics </w:t>
      </w:r>
      <w:r w:rsidR="00B57163">
        <w:rPr>
          <w:bCs/>
          <w:i/>
          <w:sz w:val="22"/>
          <w:szCs w:val="22"/>
        </w:rPr>
        <w:t>&amp;</w:t>
      </w:r>
      <w:r w:rsidR="002C47CE" w:rsidRPr="00987D1C">
        <w:rPr>
          <w:bCs/>
          <w:i/>
          <w:sz w:val="22"/>
          <w:szCs w:val="22"/>
        </w:rPr>
        <w:t xml:space="preserve"> Control</w:t>
      </w:r>
    </w:p>
    <w:p w:rsidR="00050DD9" w:rsidRPr="001E4814" w:rsidRDefault="00E5615F" w:rsidP="001068BE">
      <w:pPr>
        <w:jc w:val="both"/>
        <w:rPr>
          <w:rFonts w:cs="Arial"/>
          <w:sz w:val="22"/>
          <w:szCs w:val="22"/>
        </w:rPr>
      </w:pPr>
      <w:r w:rsidRPr="001E4814">
        <w:rPr>
          <w:rFonts w:cs="Arial"/>
          <w:sz w:val="22"/>
          <w:szCs w:val="22"/>
        </w:rPr>
        <w:t>The Smart Grid</w:t>
      </w:r>
      <w:r w:rsidR="002C47CE" w:rsidRPr="001E4814">
        <w:rPr>
          <w:rFonts w:cs="Arial"/>
          <w:sz w:val="22"/>
          <w:szCs w:val="22"/>
        </w:rPr>
        <w:t xml:space="preserve">, which differs from the power grids we know today in that it incorporates computing technology into every aspect of electric power generation, delivery and consumption, </w:t>
      </w:r>
      <w:r w:rsidRPr="001E4814">
        <w:rPr>
          <w:rFonts w:cs="Arial"/>
          <w:sz w:val="22"/>
          <w:szCs w:val="22"/>
        </w:rPr>
        <w:t>will permit the seamless integration of conventional and renewable energy sources</w:t>
      </w:r>
      <w:r w:rsidR="00050DD9" w:rsidRPr="001E4814">
        <w:rPr>
          <w:rFonts w:cs="Arial"/>
          <w:sz w:val="22"/>
          <w:szCs w:val="22"/>
        </w:rPr>
        <w:t xml:space="preserve"> while at the same time </w:t>
      </w:r>
      <w:r w:rsidR="002C47CE" w:rsidRPr="001E4814">
        <w:rPr>
          <w:rFonts w:cs="Arial"/>
          <w:sz w:val="22"/>
          <w:szCs w:val="22"/>
        </w:rPr>
        <w:t xml:space="preserve">reducing the environmental impact of energy distribution and consumption, and </w:t>
      </w:r>
      <w:r w:rsidR="00050DD9" w:rsidRPr="001E4814">
        <w:rPr>
          <w:rFonts w:cs="Arial"/>
          <w:sz w:val="22"/>
          <w:szCs w:val="22"/>
        </w:rPr>
        <w:t>improving the quality of se</w:t>
      </w:r>
      <w:r w:rsidR="002C47CE" w:rsidRPr="001E4814">
        <w:rPr>
          <w:rFonts w:cs="Arial"/>
          <w:sz w:val="22"/>
          <w:szCs w:val="22"/>
        </w:rPr>
        <w:t>rvice provided to all consumers</w:t>
      </w:r>
      <w:r w:rsidRPr="001E4814">
        <w:rPr>
          <w:rFonts w:cs="Arial"/>
          <w:sz w:val="22"/>
          <w:szCs w:val="22"/>
        </w:rPr>
        <w:t>.</w:t>
      </w:r>
      <w:r w:rsidR="00050DD9" w:rsidRPr="001E4814">
        <w:rPr>
          <w:rFonts w:cs="Arial"/>
          <w:sz w:val="22"/>
          <w:szCs w:val="22"/>
        </w:rPr>
        <w:t xml:space="preserve">  </w:t>
      </w:r>
    </w:p>
    <w:p w:rsidR="00501538" w:rsidRPr="001E4814" w:rsidRDefault="00501538" w:rsidP="00E5615F">
      <w:pPr>
        <w:jc w:val="both"/>
        <w:rPr>
          <w:rFonts w:cs="Arial"/>
          <w:sz w:val="22"/>
          <w:szCs w:val="22"/>
        </w:rPr>
      </w:pPr>
    </w:p>
    <w:p w:rsidR="002826E5" w:rsidRPr="001E4814" w:rsidRDefault="00501538" w:rsidP="00501538">
      <w:pPr>
        <w:jc w:val="both"/>
        <w:rPr>
          <w:rFonts w:cs="Arial"/>
          <w:sz w:val="22"/>
          <w:szCs w:val="22"/>
        </w:rPr>
      </w:pPr>
      <w:r w:rsidRPr="001E4814">
        <w:rPr>
          <w:rFonts w:cs="Arial"/>
          <w:sz w:val="22"/>
          <w:szCs w:val="22"/>
        </w:rPr>
        <w:t xml:space="preserve">The </w:t>
      </w:r>
      <w:r w:rsidR="00EB7B4B" w:rsidRPr="001E4814">
        <w:rPr>
          <w:rFonts w:cs="Arial"/>
          <w:sz w:val="22"/>
          <w:szCs w:val="22"/>
        </w:rPr>
        <w:t>discovery and innovation</w:t>
      </w:r>
      <w:r w:rsidRPr="001E4814">
        <w:rPr>
          <w:rFonts w:cs="Arial"/>
          <w:sz w:val="22"/>
          <w:szCs w:val="22"/>
        </w:rPr>
        <w:t xml:space="preserve"> backbone of </w:t>
      </w:r>
      <w:r w:rsidR="00815227">
        <w:rPr>
          <w:rFonts w:cs="Arial"/>
          <w:sz w:val="22"/>
          <w:szCs w:val="22"/>
        </w:rPr>
        <w:t xml:space="preserve">the </w:t>
      </w:r>
      <w:proofErr w:type="spellStart"/>
      <w:r w:rsidRPr="001E4814">
        <w:rPr>
          <w:rFonts w:cs="Arial"/>
          <w:sz w:val="22"/>
          <w:szCs w:val="22"/>
        </w:rPr>
        <w:t>IExE</w:t>
      </w:r>
      <w:proofErr w:type="spellEnd"/>
      <w:r w:rsidR="00413B1E">
        <w:rPr>
          <w:rFonts w:cs="Arial"/>
          <w:sz w:val="22"/>
          <w:szCs w:val="22"/>
        </w:rPr>
        <w:t xml:space="preserve"> Energy Systems</w:t>
      </w:r>
      <w:r w:rsidRPr="001E4814">
        <w:rPr>
          <w:rFonts w:cs="Arial"/>
          <w:sz w:val="22"/>
          <w:szCs w:val="22"/>
        </w:rPr>
        <w:t xml:space="preserve"> Analytics </w:t>
      </w:r>
      <w:r w:rsidR="00B57163">
        <w:rPr>
          <w:rFonts w:cs="Arial"/>
          <w:sz w:val="22"/>
          <w:szCs w:val="22"/>
        </w:rPr>
        <w:t>&amp;</w:t>
      </w:r>
      <w:r w:rsidRPr="001E4814">
        <w:rPr>
          <w:rFonts w:cs="Arial"/>
          <w:sz w:val="22"/>
          <w:szCs w:val="22"/>
        </w:rPr>
        <w:t xml:space="preserve"> Control </w:t>
      </w:r>
      <w:r w:rsidR="00815227">
        <w:rPr>
          <w:rFonts w:cs="Arial"/>
          <w:sz w:val="22"/>
          <w:szCs w:val="22"/>
        </w:rPr>
        <w:t xml:space="preserve">cluster </w:t>
      </w:r>
      <w:r w:rsidRPr="001E4814">
        <w:rPr>
          <w:rFonts w:cs="Arial"/>
          <w:sz w:val="22"/>
          <w:szCs w:val="22"/>
        </w:rPr>
        <w:t xml:space="preserve">is a real-life energy system network and corresponding Energy Management System that allows </w:t>
      </w:r>
      <w:proofErr w:type="spellStart"/>
      <w:r w:rsidR="00815227">
        <w:rPr>
          <w:rFonts w:cs="Arial"/>
          <w:sz w:val="22"/>
          <w:szCs w:val="22"/>
        </w:rPr>
        <w:t>IExE</w:t>
      </w:r>
      <w:proofErr w:type="spellEnd"/>
      <w:r w:rsidR="002C47CE" w:rsidRPr="001E4814">
        <w:rPr>
          <w:rFonts w:cs="Arial"/>
          <w:sz w:val="22"/>
          <w:szCs w:val="22"/>
        </w:rPr>
        <w:t xml:space="preserve"> </w:t>
      </w:r>
      <w:r w:rsidRPr="001E4814">
        <w:rPr>
          <w:rFonts w:cs="Arial"/>
          <w:sz w:val="22"/>
          <w:szCs w:val="22"/>
        </w:rPr>
        <w:t xml:space="preserve">teams to: </w:t>
      </w:r>
      <w:r w:rsidR="00050DD9" w:rsidRPr="001E4814">
        <w:rPr>
          <w:rFonts w:cs="Arial"/>
          <w:sz w:val="22"/>
          <w:szCs w:val="22"/>
        </w:rPr>
        <w:t>examine interactions of multiple energy networks and network components in a real-life energy system operating environment</w:t>
      </w:r>
      <w:r w:rsidRPr="001E4814">
        <w:rPr>
          <w:rFonts w:cs="Arial"/>
          <w:sz w:val="22"/>
          <w:szCs w:val="22"/>
        </w:rPr>
        <w:t>; experience and visualize energy system phenomena in a scaled down EMS; experimentally validate computer and control models; examine the role/effect of novel building sensor and actuation systems on local as well as network-wide control systems; and study the respective ro</w:t>
      </w:r>
      <w:r w:rsidR="002C47CE" w:rsidRPr="001E4814">
        <w:rPr>
          <w:rFonts w:cs="Arial"/>
          <w:sz w:val="22"/>
          <w:szCs w:val="22"/>
        </w:rPr>
        <w:t xml:space="preserve">les of traditional and emerging </w:t>
      </w:r>
      <w:r w:rsidRPr="001E4814">
        <w:rPr>
          <w:rFonts w:cs="Arial"/>
          <w:sz w:val="22"/>
          <w:szCs w:val="22"/>
        </w:rPr>
        <w:t xml:space="preserve">energy storage technologies on </w:t>
      </w:r>
      <w:r w:rsidR="00B5604C" w:rsidRPr="001E4814">
        <w:rPr>
          <w:rFonts w:cs="Arial"/>
          <w:sz w:val="22"/>
          <w:szCs w:val="22"/>
        </w:rPr>
        <w:t xml:space="preserve">Smart Grid </w:t>
      </w:r>
      <w:r w:rsidRPr="001E4814">
        <w:rPr>
          <w:rFonts w:cs="Arial"/>
          <w:sz w:val="22"/>
          <w:szCs w:val="22"/>
        </w:rPr>
        <w:t>energy systems and in optimizing energy management.</w:t>
      </w:r>
    </w:p>
    <w:p w:rsidR="00501538" w:rsidRPr="001E4814" w:rsidRDefault="00501538" w:rsidP="00501538">
      <w:pPr>
        <w:jc w:val="both"/>
        <w:rPr>
          <w:rFonts w:cs="Arial"/>
          <w:sz w:val="22"/>
          <w:szCs w:val="22"/>
        </w:rPr>
      </w:pPr>
    </w:p>
    <w:p w:rsidR="00F85763" w:rsidRPr="00987D1C" w:rsidRDefault="002826E5" w:rsidP="00815227">
      <w:pPr>
        <w:rPr>
          <w:i/>
          <w:sz w:val="22"/>
          <w:szCs w:val="22"/>
        </w:rPr>
      </w:pPr>
      <w:r w:rsidRPr="00987D1C">
        <w:rPr>
          <w:i/>
          <w:sz w:val="22"/>
          <w:szCs w:val="22"/>
        </w:rPr>
        <w:t>Energy Storage</w:t>
      </w:r>
      <w:r w:rsidR="00DD1284" w:rsidRPr="00987D1C">
        <w:rPr>
          <w:i/>
          <w:sz w:val="22"/>
          <w:szCs w:val="22"/>
        </w:rPr>
        <w:t xml:space="preserve"> </w:t>
      </w:r>
      <w:r w:rsidR="00FD4C3B" w:rsidRPr="00987D1C">
        <w:rPr>
          <w:i/>
          <w:sz w:val="22"/>
          <w:szCs w:val="22"/>
        </w:rPr>
        <w:t>Technology</w:t>
      </w:r>
      <w:r w:rsidR="00815227" w:rsidRPr="00987D1C">
        <w:rPr>
          <w:i/>
          <w:sz w:val="22"/>
          <w:szCs w:val="22"/>
        </w:rPr>
        <w:t xml:space="preserve"> </w:t>
      </w:r>
    </w:p>
    <w:p w:rsidR="002826E5" w:rsidRPr="001E4814" w:rsidRDefault="009D7F0E" w:rsidP="00162F6A">
      <w:pPr>
        <w:autoSpaceDE w:val="0"/>
        <w:autoSpaceDN w:val="0"/>
        <w:adjustRightInd w:val="0"/>
        <w:jc w:val="both"/>
        <w:rPr>
          <w:rFonts w:cs="Tahoma"/>
          <w:sz w:val="22"/>
          <w:szCs w:val="22"/>
        </w:rPr>
      </w:pPr>
      <w:r w:rsidRPr="001E4814">
        <w:rPr>
          <w:rFonts w:cs="Tahoma"/>
          <w:sz w:val="22"/>
          <w:szCs w:val="22"/>
        </w:rPr>
        <w:t>With estimates that energy consumption worldwide will double in the next 50 years, the US and many other nations are committing to increase the proportion of electricity generated by solar and wind technologies, and to increase the number of all-electric, plug-in hybrid vehicles in service.  Both goals place enormous demands on a nation’s power grid, challenging the grid’s ability to provide stable, energy supply 24 hours a day.  To meet these challenges</w:t>
      </w:r>
      <w:r w:rsidR="001068BE" w:rsidRPr="001E4814">
        <w:rPr>
          <w:rFonts w:cs="Tahoma"/>
          <w:sz w:val="22"/>
          <w:szCs w:val="22"/>
        </w:rPr>
        <w:t xml:space="preserve">, cheaper, more reliable </w:t>
      </w:r>
      <w:r w:rsidRPr="001E4814">
        <w:rPr>
          <w:rFonts w:cs="Tahoma"/>
          <w:sz w:val="22"/>
          <w:szCs w:val="22"/>
        </w:rPr>
        <w:t xml:space="preserve">energy storage systems </w:t>
      </w:r>
      <w:r w:rsidR="001068BE" w:rsidRPr="001E4814">
        <w:rPr>
          <w:rFonts w:cs="Tahoma"/>
          <w:sz w:val="22"/>
          <w:szCs w:val="22"/>
        </w:rPr>
        <w:t>that are</w:t>
      </w:r>
      <w:r w:rsidRPr="001E4814">
        <w:rPr>
          <w:rFonts w:cs="Tahoma"/>
          <w:sz w:val="22"/>
          <w:szCs w:val="22"/>
        </w:rPr>
        <w:t xml:space="preserve"> capable of storing more power and energy, and that charge and discharge faster</w:t>
      </w:r>
      <w:r w:rsidR="001068BE" w:rsidRPr="001E4814">
        <w:rPr>
          <w:rFonts w:cs="Tahoma"/>
          <w:sz w:val="22"/>
          <w:szCs w:val="22"/>
        </w:rPr>
        <w:t>, must be developed</w:t>
      </w:r>
      <w:r w:rsidRPr="001E4814">
        <w:rPr>
          <w:rFonts w:cs="Tahoma"/>
          <w:sz w:val="22"/>
          <w:szCs w:val="22"/>
        </w:rPr>
        <w:t xml:space="preserve">.  </w:t>
      </w:r>
    </w:p>
    <w:p w:rsidR="00162F6A" w:rsidRPr="001E4814" w:rsidRDefault="00162F6A" w:rsidP="00162F6A">
      <w:pPr>
        <w:autoSpaceDE w:val="0"/>
        <w:autoSpaceDN w:val="0"/>
        <w:adjustRightInd w:val="0"/>
        <w:rPr>
          <w:rFonts w:cs="ArialMT"/>
          <w:color w:val="061624"/>
          <w:sz w:val="22"/>
          <w:szCs w:val="22"/>
        </w:rPr>
      </w:pPr>
    </w:p>
    <w:p w:rsidR="00A84593" w:rsidRPr="001E4814" w:rsidRDefault="006C4BDB" w:rsidP="00BA49EA">
      <w:pPr>
        <w:autoSpaceDE w:val="0"/>
        <w:autoSpaceDN w:val="0"/>
        <w:adjustRightInd w:val="0"/>
        <w:spacing w:after="240"/>
        <w:rPr>
          <w:rFonts w:cs="ArialMT"/>
          <w:color w:val="061624"/>
          <w:sz w:val="22"/>
          <w:szCs w:val="22"/>
        </w:rPr>
      </w:pPr>
      <w:r w:rsidRPr="001E4814">
        <w:rPr>
          <w:rFonts w:cs="ArialMT"/>
          <w:color w:val="061624"/>
          <w:sz w:val="22"/>
          <w:szCs w:val="22"/>
        </w:rPr>
        <w:t xml:space="preserve">The </w:t>
      </w:r>
      <w:proofErr w:type="spellStart"/>
      <w:r w:rsidR="00815227">
        <w:rPr>
          <w:rFonts w:cs="ArialMT"/>
          <w:color w:val="061624"/>
          <w:sz w:val="22"/>
          <w:szCs w:val="22"/>
        </w:rPr>
        <w:t>IExE</w:t>
      </w:r>
      <w:proofErr w:type="spellEnd"/>
      <w:r w:rsidR="00DD1284" w:rsidRPr="001E4814">
        <w:rPr>
          <w:rFonts w:cs="ArialMT"/>
          <w:color w:val="061624"/>
          <w:sz w:val="22"/>
          <w:szCs w:val="22"/>
        </w:rPr>
        <w:t xml:space="preserve"> Energy Storage </w:t>
      </w:r>
      <w:r w:rsidR="00601E4B">
        <w:rPr>
          <w:rFonts w:cs="ArialMT"/>
          <w:color w:val="061624"/>
          <w:sz w:val="22"/>
          <w:szCs w:val="22"/>
        </w:rPr>
        <w:t>Technology</w:t>
      </w:r>
      <w:r w:rsidR="00DD1284" w:rsidRPr="001E4814">
        <w:rPr>
          <w:rFonts w:cs="ArialMT"/>
          <w:color w:val="061624"/>
          <w:sz w:val="22"/>
          <w:szCs w:val="22"/>
        </w:rPr>
        <w:t xml:space="preserve"> </w:t>
      </w:r>
      <w:r w:rsidR="00815227">
        <w:rPr>
          <w:rFonts w:cs="ArialMT"/>
          <w:color w:val="061624"/>
          <w:sz w:val="22"/>
          <w:szCs w:val="22"/>
        </w:rPr>
        <w:t xml:space="preserve">cluster </w:t>
      </w:r>
      <w:r w:rsidR="00FF7218">
        <w:rPr>
          <w:rFonts w:cs="ArialMT"/>
          <w:color w:val="061624"/>
          <w:sz w:val="22"/>
          <w:szCs w:val="22"/>
        </w:rPr>
        <w:t>will focus</w:t>
      </w:r>
      <w:r w:rsidR="00DD1284" w:rsidRPr="001E4814">
        <w:rPr>
          <w:rFonts w:cs="ArialMT"/>
          <w:sz w:val="22"/>
          <w:szCs w:val="22"/>
        </w:rPr>
        <w:t xml:space="preserve"> on the</w:t>
      </w:r>
      <w:r w:rsidRPr="001E4814">
        <w:rPr>
          <w:rFonts w:cs="ArialMT"/>
          <w:sz w:val="22"/>
          <w:szCs w:val="22"/>
        </w:rPr>
        <w:t xml:space="preserve"> develop</w:t>
      </w:r>
      <w:r w:rsidR="00DD1284" w:rsidRPr="001E4814">
        <w:rPr>
          <w:rFonts w:cs="ArialMT"/>
          <w:sz w:val="22"/>
          <w:szCs w:val="22"/>
        </w:rPr>
        <w:t>ment of</w:t>
      </w:r>
      <w:r w:rsidRPr="001E4814">
        <w:rPr>
          <w:rFonts w:cs="ArialMT"/>
          <w:sz w:val="22"/>
          <w:szCs w:val="22"/>
        </w:rPr>
        <w:t xml:space="preserve"> next generation </w:t>
      </w:r>
      <w:r w:rsidR="00993913" w:rsidRPr="001E4814">
        <w:rPr>
          <w:rFonts w:cs="ArialMT"/>
          <w:sz w:val="22"/>
          <w:szCs w:val="22"/>
        </w:rPr>
        <w:t>electrochemical storage system</w:t>
      </w:r>
      <w:r w:rsidRPr="001E4814">
        <w:rPr>
          <w:rFonts w:cs="ArialMT"/>
          <w:sz w:val="22"/>
          <w:szCs w:val="22"/>
        </w:rPr>
        <w:t>s</w:t>
      </w:r>
      <w:r w:rsidR="00DD1284" w:rsidRPr="001E4814">
        <w:rPr>
          <w:rFonts w:cs="ArialMT"/>
          <w:sz w:val="22"/>
          <w:szCs w:val="22"/>
        </w:rPr>
        <w:t>,</w:t>
      </w:r>
      <w:r w:rsidR="00993913" w:rsidRPr="001E4814">
        <w:rPr>
          <w:rFonts w:cs="ArialMT"/>
          <w:sz w:val="22"/>
          <w:szCs w:val="22"/>
        </w:rPr>
        <w:t xml:space="preserve"> </w:t>
      </w:r>
      <w:r w:rsidRPr="001E4814">
        <w:rPr>
          <w:rFonts w:cs="ArialMT"/>
          <w:sz w:val="22"/>
          <w:szCs w:val="22"/>
        </w:rPr>
        <w:t>and supporting technologies</w:t>
      </w:r>
      <w:r w:rsidR="00DD1284" w:rsidRPr="001E4814">
        <w:rPr>
          <w:rFonts w:cs="ArialMT"/>
          <w:sz w:val="22"/>
          <w:szCs w:val="22"/>
        </w:rPr>
        <w:t xml:space="preserve">, </w:t>
      </w:r>
      <w:r w:rsidR="001068BE" w:rsidRPr="001E4814">
        <w:rPr>
          <w:rFonts w:cs="ArialMT"/>
          <w:sz w:val="22"/>
          <w:szCs w:val="22"/>
        </w:rPr>
        <w:t xml:space="preserve">both </w:t>
      </w:r>
      <w:r w:rsidR="00DD1284" w:rsidRPr="001E4814">
        <w:rPr>
          <w:rFonts w:cs="ArialMT"/>
          <w:sz w:val="22"/>
          <w:szCs w:val="22"/>
        </w:rPr>
        <w:t>for grid-scale</w:t>
      </w:r>
      <w:r w:rsidR="001068BE" w:rsidRPr="001E4814">
        <w:rPr>
          <w:rFonts w:cs="ArialMT"/>
          <w:sz w:val="22"/>
          <w:szCs w:val="22"/>
        </w:rPr>
        <w:t xml:space="preserve"> and other</w:t>
      </w:r>
      <w:r w:rsidR="00DD1284" w:rsidRPr="001E4814">
        <w:rPr>
          <w:rFonts w:cs="ArialMT"/>
          <w:sz w:val="22"/>
          <w:szCs w:val="22"/>
        </w:rPr>
        <w:t xml:space="preserve"> applications.  For example, </w:t>
      </w:r>
      <w:proofErr w:type="spellStart"/>
      <w:r w:rsidR="00DD1284" w:rsidRPr="001E4814">
        <w:rPr>
          <w:rFonts w:cs="ArialMT"/>
          <w:sz w:val="22"/>
          <w:szCs w:val="22"/>
        </w:rPr>
        <w:t>IExE</w:t>
      </w:r>
      <w:proofErr w:type="spellEnd"/>
      <w:r w:rsidR="00DD1284" w:rsidRPr="001E4814">
        <w:rPr>
          <w:rFonts w:cs="ArialMT"/>
          <w:sz w:val="22"/>
          <w:szCs w:val="22"/>
        </w:rPr>
        <w:t xml:space="preserve"> teams </w:t>
      </w:r>
      <w:r w:rsidR="00FF7218">
        <w:rPr>
          <w:rFonts w:cs="ArialMT"/>
          <w:sz w:val="22"/>
          <w:szCs w:val="22"/>
        </w:rPr>
        <w:t>will</w:t>
      </w:r>
      <w:r w:rsidR="00DD1284" w:rsidRPr="001E4814">
        <w:rPr>
          <w:rFonts w:cs="ArialMT"/>
          <w:sz w:val="22"/>
          <w:szCs w:val="22"/>
        </w:rPr>
        <w:t xml:space="preserve">: </w:t>
      </w:r>
      <w:r w:rsidR="00FF7218">
        <w:rPr>
          <w:rFonts w:cs="ArialMT"/>
          <w:sz w:val="22"/>
          <w:szCs w:val="22"/>
        </w:rPr>
        <w:t>study</w:t>
      </w:r>
      <w:r w:rsidR="003F5C44" w:rsidRPr="001E4814">
        <w:rPr>
          <w:rFonts w:cs="ArialMT"/>
          <w:sz w:val="22"/>
          <w:szCs w:val="22"/>
        </w:rPr>
        <w:t xml:space="preserve"> </w:t>
      </w:r>
      <w:r w:rsidR="003F5C44" w:rsidRPr="001E4814">
        <w:rPr>
          <w:rFonts w:cs="ArialMT"/>
          <w:iCs/>
          <w:sz w:val="22"/>
          <w:szCs w:val="22"/>
        </w:rPr>
        <w:t xml:space="preserve">transport phenomena of small molecules and ions in </w:t>
      </w:r>
      <w:r w:rsidR="003F5C44" w:rsidRPr="001E4814">
        <w:rPr>
          <w:rFonts w:cs="ArialMT"/>
          <w:sz w:val="22"/>
          <w:szCs w:val="22"/>
        </w:rPr>
        <w:t xml:space="preserve">fuel cells and batteries; </w:t>
      </w:r>
      <w:r w:rsidR="005108BA" w:rsidRPr="001E4814">
        <w:rPr>
          <w:rFonts w:cs="ArialMT"/>
          <w:sz w:val="22"/>
          <w:szCs w:val="22"/>
        </w:rPr>
        <w:t xml:space="preserve">investigating </w:t>
      </w:r>
      <w:r w:rsidR="00DD1284" w:rsidRPr="001E4814">
        <w:rPr>
          <w:rFonts w:cs="ArialMT"/>
          <w:sz w:val="22"/>
          <w:szCs w:val="22"/>
        </w:rPr>
        <w:t xml:space="preserve">multi-electron materials </w:t>
      </w:r>
      <w:r w:rsidR="00DD1284" w:rsidRPr="001E4814">
        <w:rPr>
          <w:rFonts w:cs="ArialMT"/>
          <w:sz w:val="22"/>
          <w:szCs w:val="22"/>
        </w:rPr>
        <w:lastRenderedPageBreak/>
        <w:t>and processes that overcome limitations in contemporary lithium-ion rechargeable</w:t>
      </w:r>
      <w:r w:rsidR="00FF7218">
        <w:rPr>
          <w:rFonts w:cs="ArialMT"/>
          <w:sz w:val="22"/>
          <w:szCs w:val="22"/>
        </w:rPr>
        <w:t xml:space="preserve"> batteries; develop</w:t>
      </w:r>
      <w:r w:rsidR="005108BA" w:rsidRPr="001E4814">
        <w:rPr>
          <w:rFonts w:cs="ArialMT"/>
          <w:sz w:val="22"/>
          <w:szCs w:val="22"/>
        </w:rPr>
        <w:t xml:space="preserve"> design criteria with which</w:t>
      </w:r>
      <w:r w:rsidR="005108BA" w:rsidRPr="001E4814">
        <w:rPr>
          <w:rFonts w:cs="ArialMT"/>
          <w:color w:val="061624"/>
          <w:sz w:val="22"/>
          <w:szCs w:val="22"/>
        </w:rPr>
        <w:t xml:space="preserve"> to optimize and predict the selection of organic materials for batteries and electroc</w:t>
      </w:r>
      <w:r w:rsidR="00FF7218">
        <w:rPr>
          <w:rFonts w:cs="ArialMT"/>
          <w:color w:val="061624"/>
          <w:sz w:val="22"/>
          <w:szCs w:val="22"/>
        </w:rPr>
        <w:t>hemical capacitors; and study</w:t>
      </w:r>
      <w:r w:rsidR="005108BA" w:rsidRPr="001E4814">
        <w:rPr>
          <w:rFonts w:cs="ArialMT"/>
          <w:color w:val="061624"/>
          <w:sz w:val="22"/>
          <w:szCs w:val="22"/>
        </w:rPr>
        <w:t xml:space="preserve"> new devices and systems that promise a combination of high power, scalable energy capacity, fast charge/discharge and long </w:t>
      </w:r>
      <w:r w:rsidR="001068BE" w:rsidRPr="001E4814">
        <w:rPr>
          <w:rFonts w:cs="ArialMT"/>
          <w:color w:val="061624"/>
          <w:sz w:val="22"/>
          <w:szCs w:val="22"/>
        </w:rPr>
        <w:t>lifetime performance characteristics</w:t>
      </w:r>
      <w:r w:rsidR="005108BA" w:rsidRPr="001E4814">
        <w:rPr>
          <w:rFonts w:cs="ArialMT"/>
          <w:color w:val="061624"/>
          <w:sz w:val="22"/>
          <w:szCs w:val="22"/>
        </w:rPr>
        <w:t>, making them ideal candidates for Smart Grid and renewable energy applications.</w:t>
      </w:r>
    </w:p>
    <w:p w:rsidR="00702898" w:rsidRPr="00987D1C" w:rsidRDefault="0027530C" w:rsidP="00702898">
      <w:pPr>
        <w:jc w:val="both"/>
        <w:rPr>
          <w:bCs/>
          <w:i/>
          <w:sz w:val="22"/>
          <w:szCs w:val="22"/>
        </w:rPr>
      </w:pPr>
      <w:r>
        <w:rPr>
          <w:bCs/>
          <w:i/>
          <w:sz w:val="22"/>
          <w:szCs w:val="22"/>
        </w:rPr>
        <w:t>Fossil Fuels to Renewables</w:t>
      </w:r>
    </w:p>
    <w:p w:rsidR="00C52816" w:rsidRPr="001E4814" w:rsidRDefault="00C52816" w:rsidP="00C52816">
      <w:pPr>
        <w:jc w:val="both"/>
        <w:rPr>
          <w:bCs/>
          <w:sz w:val="22"/>
          <w:szCs w:val="22"/>
        </w:rPr>
      </w:pPr>
      <w:r w:rsidRPr="001E4814">
        <w:rPr>
          <w:bCs/>
          <w:sz w:val="22"/>
          <w:szCs w:val="22"/>
        </w:rPr>
        <w:t xml:space="preserve">Researchers in the </w:t>
      </w:r>
      <w:proofErr w:type="spellStart"/>
      <w:r>
        <w:rPr>
          <w:bCs/>
          <w:sz w:val="22"/>
          <w:szCs w:val="22"/>
        </w:rPr>
        <w:t>IExE</w:t>
      </w:r>
      <w:proofErr w:type="spellEnd"/>
      <w:r w:rsidRPr="001E4814">
        <w:rPr>
          <w:bCs/>
          <w:sz w:val="22"/>
          <w:szCs w:val="22"/>
        </w:rPr>
        <w:t xml:space="preserve"> </w:t>
      </w:r>
      <w:r>
        <w:rPr>
          <w:bCs/>
          <w:sz w:val="22"/>
          <w:szCs w:val="22"/>
        </w:rPr>
        <w:t>Fossil Fuels to Renewables</w:t>
      </w:r>
      <w:r w:rsidRPr="001E4814">
        <w:rPr>
          <w:bCs/>
          <w:sz w:val="22"/>
          <w:szCs w:val="22"/>
        </w:rPr>
        <w:t xml:space="preserve"> </w:t>
      </w:r>
      <w:r>
        <w:rPr>
          <w:bCs/>
          <w:sz w:val="22"/>
          <w:szCs w:val="22"/>
        </w:rPr>
        <w:t xml:space="preserve">cluster </w:t>
      </w:r>
      <w:r w:rsidRPr="001E4814">
        <w:rPr>
          <w:bCs/>
          <w:sz w:val="22"/>
          <w:szCs w:val="22"/>
        </w:rPr>
        <w:t xml:space="preserve">take a holistic view of the portfolio of large-scale energy production technologies </w:t>
      </w:r>
      <w:r>
        <w:rPr>
          <w:bCs/>
          <w:sz w:val="22"/>
          <w:szCs w:val="22"/>
        </w:rPr>
        <w:t>that will advance the N</w:t>
      </w:r>
      <w:r w:rsidRPr="001E4814">
        <w:rPr>
          <w:bCs/>
          <w:sz w:val="22"/>
          <w:szCs w:val="22"/>
        </w:rPr>
        <w:t>ation’s energy supply in the most responsible manner possible.</w:t>
      </w:r>
    </w:p>
    <w:p w:rsidR="00C52816" w:rsidRPr="001E4814" w:rsidRDefault="00C52816" w:rsidP="00C52816">
      <w:pPr>
        <w:jc w:val="both"/>
        <w:rPr>
          <w:bCs/>
          <w:sz w:val="22"/>
          <w:szCs w:val="22"/>
        </w:rPr>
      </w:pPr>
    </w:p>
    <w:p w:rsidR="00C52816" w:rsidRPr="001E4814" w:rsidRDefault="00C52816" w:rsidP="00C52816">
      <w:pPr>
        <w:jc w:val="both"/>
        <w:rPr>
          <w:bCs/>
          <w:sz w:val="22"/>
          <w:szCs w:val="22"/>
        </w:rPr>
      </w:pPr>
      <w:r w:rsidRPr="001E4814">
        <w:rPr>
          <w:bCs/>
          <w:sz w:val="22"/>
          <w:szCs w:val="22"/>
        </w:rPr>
        <w:t xml:space="preserve">Unconventional natural gas </w:t>
      </w:r>
      <w:r>
        <w:rPr>
          <w:bCs/>
          <w:sz w:val="22"/>
          <w:szCs w:val="22"/>
        </w:rPr>
        <w:t>is likely to be part of the N</w:t>
      </w:r>
      <w:r w:rsidRPr="001E4814">
        <w:rPr>
          <w:bCs/>
          <w:sz w:val="22"/>
          <w:szCs w:val="22"/>
        </w:rPr>
        <w:t xml:space="preserve">ation’s energy supply for many decades.  The </w:t>
      </w:r>
      <w:proofErr w:type="gramStart"/>
      <w:r w:rsidRPr="001E4814">
        <w:rPr>
          <w:bCs/>
          <w:sz w:val="22"/>
          <w:szCs w:val="22"/>
        </w:rPr>
        <w:t>reduction in CO</w:t>
      </w:r>
      <w:r w:rsidRPr="001E4814">
        <w:rPr>
          <w:sz w:val="22"/>
          <w:szCs w:val="22"/>
          <w:vertAlign w:val="subscript"/>
        </w:rPr>
        <w:t>2</w:t>
      </w:r>
      <w:r w:rsidRPr="001E4814">
        <w:rPr>
          <w:bCs/>
          <w:sz w:val="22"/>
          <w:szCs w:val="22"/>
        </w:rPr>
        <w:t xml:space="preserve">, </w:t>
      </w:r>
      <w:proofErr w:type="spellStart"/>
      <w:r w:rsidRPr="001E4814">
        <w:rPr>
          <w:bCs/>
          <w:sz w:val="22"/>
          <w:szCs w:val="22"/>
        </w:rPr>
        <w:t>NO</w:t>
      </w:r>
      <w:r w:rsidRPr="001E4814">
        <w:rPr>
          <w:sz w:val="22"/>
          <w:szCs w:val="22"/>
          <w:vertAlign w:val="subscript"/>
        </w:rPr>
        <w:t>x</w:t>
      </w:r>
      <w:proofErr w:type="spellEnd"/>
      <w:r w:rsidRPr="001E4814">
        <w:rPr>
          <w:bCs/>
          <w:sz w:val="22"/>
          <w:szCs w:val="22"/>
        </w:rPr>
        <w:t xml:space="preserve">, and </w:t>
      </w:r>
      <w:proofErr w:type="spellStart"/>
      <w:r w:rsidRPr="001E4814">
        <w:rPr>
          <w:bCs/>
          <w:sz w:val="22"/>
          <w:szCs w:val="22"/>
        </w:rPr>
        <w:t>SO</w:t>
      </w:r>
      <w:r w:rsidRPr="001E4814">
        <w:rPr>
          <w:sz w:val="22"/>
          <w:szCs w:val="22"/>
          <w:vertAlign w:val="subscript"/>
        </w:rPr>
        <w:t>x</w:t>
      </w:r>
      <w:proofErr w:type="spellEnd"/>
      <w:r w:rsidRPr="001E4814">
        <w:rPr>
          <w:bCs/>
          <w:sz w:val="22"/>
          <w:szCs w:val="22"/>
        </w:rPr>
        <w:t xml:space="preserve"> from natural gas fired stationary power when compared to coal are</w:t>
      </w:r>
      <w:proofErr w:type="gramEnd"/>
      <w:r w:rsidRPr="001E4814">
        <w:rPr>
          <w:bCs/>
          <w:sz w:val="22"/>
          <w:szCs w:val="22"/>
        </w:rPr>
        <w:t xml:space="preserve"> compelling reasons to convert our pow</w:t>
      </w:r>
      <w:r>
        <w:rPr>
          <w:bCs/>
          <w:sz w:val="22"/>
          <w:szCs w:val="22"/>
        </w:rPr>
        <w:t>er production to natural gas.  However, t</w:t>
      </w:r>
      <w:r w:rsidRPr="001E4814">
        <w:rPr>
          <w:bCs/>
          <w:sz w:val="22"/>
          <w:szCs w:val="22"/>
        </w:rPr>
        <w:t>his change come</w:t>
      </w:r>
      <w:r>
        <w:rPr>
          <w:bCs/>
          <w:sz w:val="22"/>
          <w:szCs w:val="22"/>
        </w:rPr>
        <w:t>s with</w:t>
      </w:r>
      <w:r w:rsidR="00832BB5">
        <w:rPr>
          <w:bCs/>
          <w:sz w:val="22"/>
          <w:szCs w:val="22"/>
        </w:rPr>
        <w:t xml:space="preserve"> concerns.  For example, m</w:t>
      </w:r>
      <w:r w:rsidRPr="001E4814">
        <w:rPr>
          <w:bCs/>
          <w:sz w:val="22"/>
          <w:szCs w:val="22"/>
        </w:rPr>
        <w:t>ethane is a powerful greenhouse gas</w:t>
      </w:r>
      <w:r w:rsidR="00832BB5">
        <w:rPr>
          <w:bCs/>
          <w:sz w:val="22"/>
          <w:szCs w:val="22"/>
        </w:rPr>
        <w:t xml:space="preserve"> making </w:t>
      </w:r>
      <w:r>
        <w:rPr>
          <w:bCs/>
          <w:sz w:val="22"/>
          <w:szCs w:val="22"/>
        </w:rPr>
        <w:t>f</w:t>
      </w:r>
      <w:r w:rsidRPr="001E4814">
        <w:rPr>
          <w:bCs/>
          <w:sz w:val="22"/>
          <w:szCs w:val="22"/>
        </w:rPr>
        <w:t>ugitive emissions a tremendous concern for our environment</w:t>
      </w:r>
      <w:r>
        <w:rPr>
          <w:bCs/>
          <w:sz w:val="22"/>
          <w:szCs w:val="22"/>
        </w:rPr>
        <w:t xml:space="preserve"> and for the</w:t>
      </w:r>
      <w:r w:rsidR="00832BB5">
        <w:rPr>
          <w:bCs/>
          <w:sz w:val="22"/>
          <w:szCs w:val="22"/>
        </w:rPr>
        <w:t>ir impact on</w:t>
      </w:r>
      <w:r>
        <w:rPr>
          <w:bCs/>
          <w:sz w:val="22"/>
          <w:szCs w:val="22"/>
        </w:rPr>
        <w:t xml:space="preserve"> climate change</w:t>
      </w:r>
      <w:r w:rsidRPr="001E4814">
        <w:rPr>
          <w:bCs/>
          <w:sz w:val="22"/>
          <w:szCs w:val="22"/>
        </w:rPr>
        <w:t xml:space="preserve">.  </w:t>
      </w:r>
      <w:r>
        <w:rPr>
          <w:bCs/>
          <w:sz w:val="22"/>
          <w:szCs w:val="22"/>
        </w:rPr>
        <w:t>The production of</w:t>
      </w:r>
      <w:r w:rsidRPr="001E4814">
        <w:rPr>
          <w:bCs/>
          <w:sz w:val="22"/>
          <w:szCs w:val="22"/>
        </w:rPr>
        <w:t xml:space="preserve"> natural gas from shale requires significant</w:t>
      </w:r>
      <w:r>
        <w:rPr>
          <w:bCs/>
          <w:sz w:val="22"/>
          <w:szCs w:val="22"/>
        </w:rPr>
        <w:t xml:space="preserve"> amounts of water and chemicals</w:t>
      </w:r>
      <w:r w:rsidRPr="001E4814">
        <w:rPr>
          <w:bCs/>
          <w:sz w:val="22"/>
          <w:szCs w:val="22"/>
        </w:rPr>
        <w:t xml:space="preserve"> which are returned to the earth</w:t>
      </w:r>
      <w:r>
        <w:rPr>
          <w:bCs/>
          <w:sz w:val="22"/>
          <w:szCs w:val="22"/>
        </w:rPr>
        <w:t>’s</w:t>
      </w:r>
      <w:r w:rsidR="00832BB5">
        <w:rPr>
          <w:bCs/>
          <w:sz w:val="22"/>
          <w:szCs w:val="22"/>
        </w:rPr>
        <w:t xml:space="preserve"> surface after injection; t</w:t>
      </w:r>
      <w:r w:rsidRPr="001E4814">
        <w:rPr>
          <w:bCs/>
          <w:sz w:val="22"/>
          <w:szCs w:val="22"/>
        </w:rPr>
        <w:t>his wastewater is toxic and presents a</w:t>
      </w:r>
      <w:r w:rsidR="00832BB5">
        <w:rPr>
          <w:bCs/>
          <w:sz w:val="22"/>
          <w:szCs w:val="22"/>
        </w:rPr>
        <w:t xml:space="preserve"> challenge to remediate.  Thus, the </w:t>
      </w:r>
      <w:proofErr w:type="gramStart"/>
      <w:r w:rsidR="00832BB5">
        <w:rPr>
          <w:bCs/>
          <w:sz w:val="22"/>
          <w:szCs w:val="22"/>
        </w:rPr>
        <w:t>development of n</w:t>
      </w:r>
      <w:r w:rsidRPr="001E4814">
        <w:rPr>
          <w:bCs/>
          <w:sz w:val="22"/>
          <w:szCs w:val="22"/>
        </w:rPr>
        <w:t>ew approaches to manage water at the source of production are</w:t>
      </w:r>
      <w:proofErr w:type="gramEnd"/>
      <w:r w:rsidRPr="001E4814">
        <w:rPr>
          <w:bCs/>
          <w:sz w:val="22"/>
          <w:szCs w:val="22"/>
        </w:rPr>
        <w:t xml:space="preserve"> critical.  </w:t>
      </w:r>
      <w:proofErr w:type="spellStart"/>
      <w:r w:rsidRPr="001E4814">
        <w:rPr>
          <w:bCs/>
          <w:sz w:val="22"/>
          <w:szCs w:val="22"/>
        </w:rPr>
        <w:t>IExE</w:t>
      </w:r>
      <w:proofErr w:type="spellEnd"/>
      <w:r w:rsidRPr="001E4814">
        <w:rPr>
          <w:bCs/>
          <w:sz w:val="22"/>
          <w:szCs w:val="22"/>
        </w:rPr>
        <w:t xml:space="preserve"> researchers will be working on these and other challenges</w:t>
      </w:r>
      <w:r>
        <w:rPr>
          <w:bCs/>
          <w:sz w:val="22"/>
          <w:szCs w:val="22"/>
        </w:rPr>
        <w:t xml:space="preserve"> </w:t>
      </w:r>
      <w:r w:rsidRPr="001E4814">
        <w:rPr>
          <w:bCs/>
          <w:sz w:val="22"/>
          <w:szCs w:val="22"/>
        </w:rPr>
        <w:t xml:space="preserve">as we adapt to reliance on natural gas produced from shale </w:t>
      </w:r>
      <w:r>
        <w:rPr>
          <w:bCs/>
          <w:sz w:val="22"/>
          <w:szCs w:val="22"/>
        </w:rPr>
        <w:t>plays</w:t>
      </w:r>
      <w:r w:rsidRPr="001E4814">
        <w:rPr>
          <w:bCs/>
          <w:sz w:val="22"/>
          <w:szCs w:val="22"/>
        </w:rPr>
        <w:t>.</w:t>
      </w:r>
    </w:p>
    <w:p w:rsidR="00C52816" w:rsidRPr="001E4814" w:rsidRDefault="00C52816" w:rsidP="00C52816">
      <w:pPr>
        <w:jc w:val="both"/>
        <w:rPr>
          <w:bCs/>
          <w:sz w:val="22"/>
          <w:szCs w:val="22"/>
        </w:rPr>
      </w:pPr>
    </w:p>
    <w:p w:rsidR="00C52816" w:rsidRDefault="00C52816" w:rsidP="00C52816">
      <w:pPr>
        <w:jc w:val="both"/>
        <w:rPr>
          <w:rFonts w:cs="Arial"/>
          <w:sz w:val="22"/>
          <w:szCs w:val="22"/>
        </w:rPr>
      </w:pPr>
      <w:r>
        <w:rPr>
          <w:rFonts w:cs="ArialMT"/>
          <w:color w:val="262626"/>
          <w:sz w:val="22"/>
          <w:szCs w:val="22"/>
        </w:rPr>
        <w:t>Accidents such as the recent Fukushima Daiichi nuclear plant disaster in Japan</w:t>
      </w:r>
      <w:r w:rsidR="00644CF6">
        <w:rPr>
          <w:rFonts w:cs="ArialMT"/>
          <w:color w:val="262626"/>
          <w:sz w:val="22"/>
          <w:szCs w:val="22"/>
        </w:rPr>
        <w:t>,</w:t>
      </w:r>
      <w:r>
        <w:rPr>
          <w:rFonts w:cs="ArialMT"/>
          <w:color w:val="262626"/>
          <w:sz w:val="22"/>
          <w:szCs w:val="22"/>
        </w:rPr>
        <w:t xml:space="preserve"> and challenges relating to waste handling and storage demand </w:t>
      </w:r>
      <w:r w:rsidRPr="001E4814">
        <w:rPr>
          <w:rFonts w:cs="ArialMT"/>
          <w:color w:val="262626"/>
          <w:sz w:val="22"/>
          <w:szCs w:val="22"/>
        </w:rPr>
        <w:t xml:space="preserve">safer, </w:t>
      </w:r>
      <w:r>
        <w:rPr>
          <w:rFonts w:cs="ArialMT"/>
          <w:color w:val="262626"/>
          <w:sz w:val="22"/>
          <w:szCs w:val="22"/>
        </w:rPr>
        <w:t xml:space="preserve">cleaner, </w:t>
      </w:r>
      <w:r w:rsidRPr="001E4814">
        <w:rPr>
          <w:rFonts w:cs="ArialMT"/>
          <w:color w:val="262626"/>
          <w:sz w:val="22"/>
          <w:szCs w:val="22"/>
        </w:rPr>
        <w:t>and more efficient nuclear power plants</w:t>
      </w:r>
      <w:r w:rsidRPr="001E4814">
        <w:rPr>
          <w:rFonts w:cs="Times New Roman"/>
          <w:sz w:val="22"/>
          <w:szCs w:val="22"/>
        </w:rPr>
        <w:t xml:space="preserve">. </w:t>
      </w:r>
      <w:r>
        <w:rPr>
          <w:rFonts w:cs="Times New Roman"/>
          <w:sz w:val="22"/>
          <w:szCs w:val="22"/>
        </w:rPr>
        <w:t xml:space="preserve"> </w:t>
      </w:r>
      <w:proofErr w:type="spellStart"/>
      <w:r w:rsidRPr="001E4814">
        <w:rPr>
          <w:rFonts w:cs="Arial"/>
          <w:sz w:val="22"/>
          <w:szCs w:val="22"/>
        </w:rPr>
        <w:t>IExE</w:t>
      </w:r>
      <w:proofErr w:type="spellEnd"/>
      <w:r w:rsidRPr="001E4814">
        <w:rPr>
          <w:rFonts w:cs="Arial"/>
          <w:sz w:val="22"/>
          <w:szCs w:val="22"/>
        </w:rPr>
        <w:t xml:space="preserve"> teams are: combining advanced characterization and multi-scale modeling techniques to improve the performance and reliability of materials used in fission reactors; guiding the design of reactor materials processing by predicting behavior dependent on material structure and environmental influences; identifying, developing and testing new radiation-tolerant materials for nuclear reactor cladding and fuel component design, characterization and manufacturability.</w:t>
      </w:r>
      <w:r>
        <w:rPr>
          <w:rFonts w:cs="Arial"/>
          <w:sz w:val="22"/>
          <w:szCs w:val="22"/>
        </w:rPr>
        <w:t xml:space="preserve"> </w:t>
      </w:r>
    </w:p>
    <w:p w:rsidR="00C52816" w:rsidRPr="001E4814" w:rsidRDefault="00C52816" w:rsidP="00C52816">
      <w:pPr>
        <w:jc w:val="both"/>
        <w:rPr>
          <w:rFonts w:cs="Arial"/>
          <w:sz w:val="22"/>
          <w:szCs w:val="22"/>
        </w:rPr>
      </w:pPr>
    </w:p>
    <w:p w:rsidR="00C52816" w:rsidRPr="001E4814" w:rsidRDefault="00C52816" w:rsidP="00C52816">
      <w:pPr>
        <w:jc w:val="both"/>
        <w:rPr>
          <w:sz w:val="22"/>
          <w:szCs w:val="22"/>
        </w:rPr>
      </w:pPr>
      <w:r>
        <w:rPr>
          <w:rFonts w:cs="Times New Roman"/>
          <w:sz w:val="22"/>
          <w:szCs w:val="22"/>
        </w:rPr>
        <w:t>S</w:t>
      </w:r>
      <w:r w:rsidRPr="001E4814">
        <w:rPr>
          <w:rFonts w:cs="Times New Roman"/>
          <w:sz w:val="22"/>
          <w:szCs w:val="22"/>
        </w:rPr>
        <w:t xml:space="preserve">olar energy </w:t>
      </w:r>
      <w:r w:rsidRPr="001E4814">
        <w:rPr>
          <w:rFonts w:cs="Verdana"/>
          <w:sz w:val="22"/>
          <w:szCs w:val="22"/>
        </w:rPr>
        <w:t>supplies less than 0.2% of U.S. energy needs</w:t>
      </w:r>
      <w:r>
        <w:rPr>
          <w:rFonts w:cs="Verdana"/>
          <w:sz w:val="22"/>
          <w:szCs w:val="22"/>
        </w:rPr>
        <w:t xml:space="preserve"> today</w:t>
      </w:r>
      <w:r w:rsidR="00644CF6">
        <w:rPr>
          <w:rFonts w:cs="Verdana"/>
          <w:sz w:val="22"/>
          <w:szCs w:val="22"/>
        </w:rPr>
        <w:t xml:space="preserve">. </w:t>
      </w:r>
      <w:r w:rsidRPr="001E4814">
        <w:rPr>
          <w:rFonts w:cs="Verdana"/>
          <w:sz w:val="22"/>
          <w:szCs w:val="22"/>
        </w:rPr>
        <w:t xml:space="preserve"> </w:t>
      </w:r>
      <w:r w:rsidRPr="001E4814">
        <w:rPr>
          <w:rFonts w:cs="Times New Roman"/>
          <w:sz w:val="22"/>
          <w:szCs w:val="22"/>
        </w:rPr>
        <w:t xml:space="preserve">Prospects for much wider adoption of solar energy rely on disruptive innovations that enable adoption without subsidy. </w:t>
      </w:r>
      <w:proofErr w:type="spellStart"/>
      <w:r w:rsidRPr="001E4814">
        <w:rPr>
          <w:rFonts w:eastAsia="MS Mincho" w:cs="Times New Roman"/>
          <w:sz w:val="22"/>
          <w:szCs w:val="22"/>
        </w:rPr>
        <w:t>IExE</w:t>
      </w:r>
      <w:proofErr w:type="spellEnd"/>
      <w:r w:rsidRPr="001E4814">
        <w:rPr>
          <w:rFonts w:eastAsia="MS Mincho" w:cs="Times New Roman"/>
          <w:sz w:val="22"/>
          <w:szCs w:val="22"/>
        </w:rPr>
        <w:t xml:space="preserve"> teams </w:t>
      </w:r>
      <w:r>
        <w:rPr>
          <w:rFonts w:eastAsia="MS Mincho" w:cs="Times New Roman"/>
          <w:sz w:val="22"/>
          <w:szCs w:val="22"/>
        </w:rPr>
        <w:t xml:space="preserve">will </w:t>
      </w:r>
      <w:r w:rsidRPr="001E4814">
        <w:rPr>
          <w:rFonts w:eastAsia="MS Mincho" w:cs="Times New Roman"/>
          <w:sz w:val="22"/>
          <w:szCs w:val="22"/>
        </w:rPr>
        <w:t>investigat</w:t>
      </w:r>
      <w:r>
        <w:rPr>
          <w:rFonts w:eastAsia="MS Mincho" w:cs="Times New Roman"/>
          <w:sz w:val="22"/>
          <w:szCs w:val="22"/>
        </w:rPr>
        <w:t>e</w:t>
      </w:r>
      <w:r w:rsidRPr="001E4814">
        <w:rPr>
          <w:rFonts w:eastAsia="MS Mincho" w:cs="Times New Roman"/>
          <w:sz w:val="22"/>
          <w:szCs w:val="22"/>
        </w:rPr>
        <w:t xml:space="preserve"> </w:t>
      </w:r>
      <w:r>
        <w:rPr>
          <w:rFonts w:eastAsia="MS Mincho" w:cs="Times New Roman"/>
          <w:sz w:val="22"/>
          <w:szCs w:val="22"/>
        </w:rPr>
        <w:t xml:space="preserve">fundamentally </w:t>
      </w:r>
      <w:r w:rsidRPr="001E4814">
        <w:rPr>
          <w:rFonts w:eastAsia="MS Mincho" w:cs="Times New Roman"/>
          <w:sz w:val="22"/>
          <w:szCs w:val="22"/>
        </w:rPr>
        <w:t xml:space="preserve">new </w:t>
      </w:r>
      <w:r w:rsidRPr="001E4814">
        <w:rPr>
          <w:sz w:val="22"/>
          <w:szCs w:val="22"/>
        </w:rPr>
        <w:t xml:space="preserve">strategies and associated manufacturing-scale technologies </w:t>
      </w:r>
      <w:r>
        <w:rPr>
          <w:sz w:val="22"/>
          <w:szCs w:val="22"/>
        </w:rPr>
        <w:t>for</w:t>
      </w:r>
      <w:r w:rsidRPr="001E4814">
        <w:rPr>
          <w:sz w:val="22"/>
          <w:szCs w:val="22"/>
        </w:rPr>
        <w:t xml:space="preserve"> </w:t>
      </w:r>
      <w:r>
        <w:rPr>
          <w:sz w:val="22"/>
          <w:szCs w:val="22"/>
        </w:rPr>
        <w:t xml:space="preserve">low-cost, </w:t>
      </w:r>
      <w:r w:rsidRPr="001E4814">
        <w:rPr>
          <w:sz w:val="22"/>
          <w:szCs w:val="22"/>
        </w:rPr>
        <w:t xml:space="preserve">high-efficiency photovoltaic </w:t>
      </w:r>
      <w:r>
        <w:rPr>
          <w:sz w:val="22"/>
          <w:szCs w:val="22"/>
        </w:rPr>
        <w:t xml:space="preserve">(PV) </w:t>
      </w:r>
      <w:r w:rsidRPr="001E4814">
        <w:rPr>
          <w:sz w:val="22"/>
          <w:szCs w:val="22"/>
        </w:rPr>
        <w:t>solar energy conversion. For example, studying: novel nanostructure</w:t>
      </w:r>
      <w:r>
        <w:rPr>
          <w:sz w:val="22"/>
          <w:szCs w:val="22"/>
        </w:rPr>
        <w:t>d materials, assemblies and</w:t>
      </w:r>
      <w:r w:rsidRPr="001E4814">
        <w:rPr>
          <w:sz w:val="22"/>
          <w:szCs w:val="22"/>
        </w:rPr>
        <w:t xml:space="preserve"> interfaces for </w:t>
      </w:r>
      <w:r>
        <w:rPr>
          <w:sz w:val="22"/>
          <w:szCs w:val="22"/>
        </w:rPr>
        <w:t xml:space="preserve">cheaper and </w:t>
      </w:r>
      <w:r w:rsidRPr="001E4814">
        <w:rPr>
          <w:sz w:val="22"/>
          <w:szCs w:val="22"/>
        </w:rPr>
        <w:t xml:space="preserve">more efficient light absorption, carrier </w:t>
      </w:r>
      <w:r>
        <w:rPr>
          <w:sz w:val="22"/>
          <w:szCs w:val="22"/>
        </w:rPr>
        <w:t xml:space="preserve">generation, </w:t>
      </w:r>
      <w:r w:rsidRPr="001E4814">
        <w:rPr>
          <w:sz w:val="22"/>
          <w:szCs w:val="22"/>
        </w:rPr>
        <w:t xml:space="preserve">separation, </w:t>
      </w:r>
      <w:r>
        <w:rPr>
          <w:sz w:val="22"/>
          <w:szCs w:val="22"/>
        </w:rPr>
        <w:t xml:space="preserve">transport </w:t>
      </w:r>
      <w:r w:rsidRPr="001E4814">
        <w:rPr>
          <w:sz w:val="22"/>
          <w:szCs w:val="22"/>
        </w:rPr>
        <w:t xml:space="preserve">and </w:t>
      </w:r>
      <w:r>
        <w:rPr>
          <w:sz w:val="22"/>
          <w:szCs w:val="22"/>
        </w:rPr>
        <w:t>collection</w:t>
      </w:r>
      <w:r w:rsidRPr="001E4814">
        <w:rPr>
          <w:sz w:val="22"/>
          <w:szCs w:val="22"/>
        </w:rPr>
        <w:t xml:space="preserve">; new third-generation </w:t>
      </w:r>
      <w:r>
        <w:rPr>
          <w:sz w:val="22"/>
          <w:szCs w:val="22"/>
        </w:rPr>
        <w:t xml:space="preserve">environmentally-friendly </w:t>
      </w:r>
      <w:r w:rsidRPr="001E4814">
        <w:rPr>
          <w:sz w:val="22"/>
          <w:szCs w:val="22"/>
        </w:rPr>
        <w:t xml:space="preserve">materials and device concepts </w:t>
      </w:r>
      <w:r>
        <w:rPr>
          <w:sz w:val="22"/>
          <w:szCs w:val="22"/>
        </w:rPr>
        <w:t>that can overcome conventional power conversion efficiency limits</w:t>
      </w:r>
      <w:r w:rsidRPr="001E4814">
        <w:rPr>
          <w:sz w:val="22"/>
          <w:szCs w:val="22"/>
        </w:rPr>
        <w:t>;</w:t>
      </w:r>
      <w:r>
        <w:rPr>
          <w:sz w:val="22"/>
          <w:szCs w:val="22"/>
        </w:rPr>
        <w:t xml:space="preserve"> concentrated PV technologies that use land more efficiently;</w:t>
      </w:r>
      <w:r w:rsidRPr="001E4814">
        <w:rPr>
          <w:sz w:val="22"/>
          <w:szCs w:val="22"/>
        </w:rPr>
        <w:t xml:space="preserve"> </w:t>
      </w:r>
      <w:r>
        <w:rPr>
          <w:sz w:val="22"/>
          <w:szCs w:val="22"/>
        </w:rPr>
        <w:t xml:space="preserve">hybrid PV technologies that harness excess heat; new approaches to reducing balance-of-systems costs; </w:t>
      </w:r>
      <w:r w:rsidRPr="001E4814">
        <w:rPr>
          <w:sz w:val="22"/>
          <w:szCs w:val="22"/>
        </w:rPr>
        <w:t xml:space="preserve">and, eco-friendly manufacturing-scale processing for </w:t>
      </w:r>
      <w:r>
        <w:rPr>
          <w:sz w:val="22"/>
          <w:szCs w:val="22"/>
        </w:rPr>
        <w:t>PV</w:t>
      </w:r>
      <w:r w:rsidRPr="001E4814">
        <w:rPr>
          <w:sz w:val="22"/>
          <w:szCs w:val="22"/>
        </w:rPr>
        <w:t xml:space="preserve"> technologies.</w:t>
      </w:r>
    </w:p>
    <w:p w:rsidR="00C52816" w:rsidRPr="001E4814" w:rsidRDefault="00C52816" w:rsidP="00C52816">
      <w:pPr>
        <w:tabs>
          <w:tab w:val="left" w:pos="90"/>
        </w:tabs>
        <w:jc w:val="both"/>
        <w:rPr>
          <w:sz w:val="22"/>
          <w:szCs w:val="22"/>
        </w:rPr>
      </w:pPr>
    </w:p>
    <w:p w:rsidR="00C52816" w:rsidRDefault="00C52816" w:rsidP="00C52816">
      <w:pPr>
        <w:spacing w:after="100" w:afterAutospacing="1"/>
        <w:jc w:val="both"/>
        <w:rPr>
          <w:sz w:val="22"/>
          <w:szCs w:val="22"/>
        </w:rPr>
      </w:pPr>
      <w:r w:rsidRPr="001E4814">
        <w:rPr>
          <w:rFonts w:eastAsia="MS Mincho" w:cs="Times New Roman"/>
          <w:sz w:val="22"/>
          <w:szCs w:val="22"/>
        </w:rPr>
        <w:t>Transportation fuels are dominated by liquid hydrocarbons today.  Historically the sourc</w:t>
      </w:r>
      <w:r w:rsidRPr="00C52816">
        <w:rPr>
          <w:rFonts w:eastAsia="MS Mincho" w:cs="Times New Roman"/>
          <w:sz w:val="22"/>
          <w:szCs w:val="22"/>
        </w:rPr>
        <w:t>es</w:t>
      </w:r>
      <w:r w:rsidRPr="001E4814">
        <w:rPr>
          <w:rFonts w:eastAsia="MS Mincho" w:cs="Times New Roman"/>
          <w:sz w:val="22"/>
          <w:szCs w:val="22"/>
        </w:rPr>
        <w:t xml:space="preserve"> of these fuels have been imported in a highly volatile market.  </w:t>
      </w:r>
      <w:r w:rsidRPr="001E4814">
        <w:rPr>
          <w:sz w:val="22"/>
          <w:szCs w:val="22"/>
        </w:rPr>
        <w:t>New oil reserves in the US have the potential to dominate the production of traditional gasoline/diesel in the future, however, it may be possible to transform our transportation fuels to sources that produce less CO</w:t>
      </w:r>
      <w:r w:rsidRPr="001E4814">
        <w:rPr>
          <w:sz w:val="22"/>
          <w:szCs w:val="22"/>
          <w:vertAlign w:val="subscript"/>
        </w:rPr>
        <w:t>2</w:t>
      </w:r>
      <w:r w:rsidRPr="001E4814">
        <w:rPr>
          <w:sz w:val="22"/>
          <w:szCs w:val="22"/>
        </w:rPr>
        <w:t xml:space="preserve"> and/or have lower impacts on air quality and health.  These include conversion to </w:t>
      </w:r>
      <w:r w:rsidRPr="001E4814">
        <w:rPr>
          <w:sz w:val="22"/>
          <w:szCs w:val="22"/>
        </w:rPr>
        <w:lastRenderedPageBreak/>
        <w:t>natural gas, propane, bio</w:t>
      </w:r>
      <w:r w:rsidR="00FF7218">
        <w:rPr>
          <w:sz w:val="22"/>
          <w:szCs w:val="22"/>
        </w:rPr>
        <w:t xml:space="preserve">fuels, and batteries. </w:t>
      </w:r>
      <w:proofErr w:type="spellStart"/>
      <w:r w:rsidRPr="001E4814">
        <w:rPr>
          <w:sz w:val="22"/>
          <w:szCs w:val="22"/>
        </w:rPr>
        <w:t>IExE</w:t>
      </w:r>
      <w:proofErr w:type="spellEnd"/>
      <w:r w:rsidRPr="001E4814">
        <w:rPr>
          <w:sz w:val="22"/>
          <w:szCs w:val="22"/>
        </w:rPr>
        <w:t xml:space="preserve"> researchers </w:t>
      </w:r>
      <w:r w:rsidR="00FF7218">
        <w:rPr>
          <w:sz w:val="22"/>
          <w:szCs w:val="22"/>
        </w:rPr>
        <w:t>will engage</w:t>
      </w:r>
      <w:r w:rsidRPr="001E4814">
        <w:rPr>
          <w:sz w:val="22"/>
          <w:szCs w:val="22"/>
        </w:rPr>
        <w:t xml:space="preserve"> in projects that span the transportation fuel life cycle, including the conversion of bio-oils into biodiesel, using biological processes to remediate waste and produce fuels such as algae bioreactors</w:t>
      </w:r>
      <w:r>
        <w:rPr>
          <w:sz w:val="22"/>
          <w:szCs w:val="22"/>
        </w:rPr>
        <w:t>, and life-cycle assessment of non-food based biomass conversion to fuels</w:t>
      </w:r>
      <w:r w:rsidRPr="001E4814">
        <w:rPr>
          <w:sz w:val="22"/>
          <w:szCs w:val="22"/>
        </w:rPr>
        <w:t xml:space="preserve">.  Finally, our capabilities in combustion research, atmospheric chemistry and public health, </w:t>
      </w:r>
      <w:r w:rsidR="002C5DC2">
        <w:rPr>
          <w:sz w:val="22"/>
          <w:szCs w:val="22"/>
        </w:rPr>
        <w:t>are</w:t>
      </w:r>
      <w:r w:rsidRPr="001E4814">
        <w:rPr>
          <w:sz w:val="22"/>
          <w:szCs w:val="22"/>
        </w:rPr>
        <w:t xml:space="preserve"> poised to examine the heath improvements of moving to non-traditional transportation fuels.</w:t>
      </w:r>
    </w:p>
    <w:p w:rsidR="00E821DA" w:rsidRPr="00E821DA" w:rsidRDefault="00E821DA" w:rsidP="00154CB8">
      <w:pPr>
        <w:rPr>
          <w:b/>
          <w:sz w:val="22"/>
          <w:szCs w:val="22"/>
        </w:rPr>
      </w:pPr>
      <w:r w:rsidRPr="00E821DA">
        <w:rPr>
          <w:b/>
          <w:sz w:val="22"/>
          <w:szCs w:val="22"/>
        </w:rPr>
        <w:t xml:space="preserve">Education in the </w:t>
      </w:r>
      <w:proofErr w:type="spellStart"/>
      <w:r w:rsidRPr="00E821DA">
        <w:rPr>
          <w:b/>
          <w:sz w:val="22"/>
          <w:szCs w:val="22"/>
        </w:rPr>
        <w:t>IExE</w:t>
      </w:r>
      <w:proofErr w:type="spellEnd"/>
    </w:p>
    <w:p w:rsidR="00E821DA" w:rsidRDefault="00E821DA" w:rsidP="00154CB8">
      <w:pPr>
        <w:rPr>
          <w:sz w:val="22"/>
          <w:szCs w:val="22"/>
        </w:rPr>
      </w:pPr>
    </w:p>
    <w:p w:rsidR="00154CB8" w:rsidRPr="00154CB8" w:rsidRDefault="00154CB8" w:rsidP="00154CB8">
      <w:pPr>
        <w:rPr>
          <w:sz w:val="22"/>
          <w:szCs w:val="22"/>
        </w:rPr>
      </w:pPr>
      <w:proofErr w:type="spellStart"/>
      <w:r w:rsidRPr="00154CB8">
        <w:rPr>
          <w:sz w:val="22"/>
          <w:szCs w:val="22"/>
        </w:rPr>
        <w:t>IExE</w:t>
      </w:r>
      <w:proofErr w:type="spellEnd"/>
      <w:r w:rsidRPr="00154CB8">
        <w:rPr>
          <w:sz w:val="22"/>
          <w:szCs w:val="22"/>
        </w:rPr>
        <w:t xml:space="preserve"> research advances are driving curricular innovations in undergraduate education in many of Drexel’s colleges and schools, including the College of Engineering, the College of Arts and Sciences, the </w:t>
      </w:r>
      <w:proofErr w:type="spellStart"/>
      <w:r w:rsidR="00E821DA">
        <w:rPr>
          <w:sz w:val="22"/>
          <w:szCs w:val="22"/>
        </w:rPr>
        <w:t>LeBow</w:t>
      </w:r>
      <w:proofErr w:type="spellEnd"/>
      <w:r w:rsidR="00E821DA">
        <w:rPr>
          <w:sz w:val="22"/>
          <w:szCs w:val="22"/>
        </w:rPr>
        <w:t xml:space="preserve"> </w:t>
      </w:r>
      <w:r w:rsidRPr="00154CB8">
        <w:rPr>
          <w:sz w:val="22"/>
          <w:szCs w:val="22"/>
        </w:rPr>
        <w:t>College of Business, the School of Public Health</w:t>
      </w:r>
      <w:r w:rsidR="00E821DA">
        <w:rPr>
          <w:sz w:val="22"/>
          <w:szCs w:val="22"/>
        </w:rPr>
        <w:t xml:space="preserve">, the </w:t>
      </w:r>
      <w:proofErr w:type="spellStart"/>
      <w:r w:rsidR="00E821DA">
        <w:rPr>
          <w:sz w:val="22"/>
          <w:szCs w:val="22"/>
        </w:rPr>
        <w:t>Westphal</w:t>
      </w:r>
      <w:proofErr w:type="spellEnd"/>
      <w:r w:rsidR="00E821DA">
        <w:rPr>
          <w:sz w:val="22"/>
          <w:szCs w:val="22"/>
        </w:rPr>
        <w:t xml:space="preserve"> College of Media Arts and Design,</w:t>
      </w:r>
      <w:r w:rsidRPr="00154CB8">
        <w:rPr>
          <w:sz w:val="22"/>
          <w:szCs w:val="22"/>
        </w:rPr>
        <w:t xml:space="preserve"> and the </w:t>
      </w:r>
      <w:r>
        <w:rPr>
          <w:sz w:val="22"/>
          <w:szCs w:val="22"/>
        </w:rPr>
        <w:t>College of Computing and Informati</w:t>
      </w:r>
      <w:r w:rsidR="00E821DA">
        <w:rPr>
          <w:sz w:val="22"/>
          <w:szCs w:val="22"/>
        </w:rPr>
        <w:t>cs</w:t>
      </w:r>
      <w:r w:rsidRPr="00154CB8">
        <w:rPr>
          <w:sz w:val="22"/>
          <w:szCs w:val="22"/>
        </w:rPr>
        <w:t xml:space="preserve">, in disciplines as diverse as mechanical, chemical, electrical and environmental engineering, environmental science, computer science, decision sciences, architecture, </w:t>
      </w:r>
      <w:r w:rsidR="00E821DA">
        <w:rPr>
          <w:sz w:val="22"/>
          <w:szCs w:val="22"/>
        </w:rPr>
        <w:t xml:space="preserve">information technology, </w:t>
      </w:r>
      <w:r w:rsidRPr="00154CB8">
        <w:rPr>
          <w:sz w:val="22"/>
          <w:szCs w:val="22"/>
        </w:rPr>
        <w:t xml:space="preserve">and the social, economic and behavioral sciences.  The University is also considering the establishment of new BS and MS majors or concentrations, including, for example, in refining engineering and energy informatics.  These and other educational innovations will ensure that Drexel graduates are prepared to meet the challenges and leverage the opportunities of the region’s growing energy economy.  </w:t>
      </w:r>
    </w:p>
    <w:p w:rsidR="00154CB8" w:rsidRDefault="00154CB8" w:rsidP="00154CB8">
      <w:pPr>
        <w:widowControl w:val="0"/>
        <w:autoSpaceDE w:val="0"/>
        <w:autoSpaceDN w:val="0"/>
        <w:adjustRightInd w:val="0"/>
        <w:rPr>
          <w:rFonts w:cs="Arial"/>
          <w:sz w:val="22"/>
          <w:szCs w:val="22"/>
        </w:rPr>
      </w:pPr>
    </w:p>
    <w:p w:rsidR="00E821DA" w:rsidRPr="00E821DA" w:rsidRDefault="00E821DA" w:rsidP="00154CB8">
      <w:pPr>
        <w:widowControl w:val="0"/>
        <w:autoSpaceDE w:val="0"/>
        <w:autoSpaceDN w:val="0"/>
        <w:adjustRightInd w:val="0"/>
        <w:rPr>
          <w:rFonts w:cs="Arial"/>
          <w:b/>
          <w:sz w:val="22"/>
          <w:szCs w:val="22"/>
        </w:rPr>
      </w:pPr>
      <w:proofErr w:type="spellStart"/>
      <w:r w:rsidRPr="00E821DA">
        <w:rPr>
          <w:rFonts w:cs="Arial"/>
          <w:b/>
          <w:sz w:val="22"/>
          <w:szCs w:val="22"/>
        </w:rPr>
        <w:t>IExE</w:t>
      </w:r>
      <w:proofErr w:type="spellEnd"/>
      <w:r w:rsidRPr="00E821DA">
        <w:rPr>
          <w:rFonts w:cs="Arial"/>
          <w:b/>
          <w:sz w:val="22"/>
          <w:szCs w:val="22"/>
        </w:rPr>
        <w:t xml:space="preserve"> Technology Commercialization</w:t>
      </w:r>
    </w:p>
    <w:p w:rsidR="00E821DA" w:rsidRPr="00154CB8" w:rsidRDefault="00E821DA" w:rsidP="00154CB8">
      <w:pPr>
        <w:widowControl w:val="0"/>
        <w:autoSpaceDE w:val="0"/>
        <w:autoSpaceDN w:val="0"/>
        <w:adjustRightInd w:val="0"/>
        <w:rPr>
          <w:rFonts w:cs="Arial"/>
          <w:sz w:val="22"/>
          <w:szCs w:val="22"/>
        </w:rPr>
      </w:pPr>
    </w:p>
    <w:p w:rsidR="00FB2144" w:rsidRPr="00B57163" w:rsidRDefault="00154CB8" w:rsidP="00B57163">
      <w:pPr>
        <w:widowControl w:val="0"/>
        <w:autoSpaceDE w:val="0"/>
        <w:autoSpaceDN w:val="0"/>
        <w:adjustRightInd w:val="0"/>
        <w:rPr>
          <w:sz w:val="22"/>
          <w:szCs w:val="22"/>
        </w:rPr>
      </w:pPr>
      <w:r w:rsidRPr="00154CB8">
        <w:rPr>
          <w:rFonts w:cs="Arial"/>
          <w:sz w:val="22"/>
          <w:szCs w:val="22"/>
        </w:rPr>
        <w:t xml:space="preserve">In technology commercialization, the </w:t>
      </w:r>
      <w:proofErr w:type="spellStart"/>
      <w:r w:rsidRPr="00154CB8">
        <w:rPr>
          <w:rFonts w:cs="Arial"/>
          <w:sz w:val="22"/>
          <w:szCs w:val="22"/>
        </w:rPr>
        <w:t>IExE</w:t>
      </w:r>
      <w:proofErr w:type="spellEnd"/>
      <w:r w:rsidRPr="00154CB8">
        <w:rPr>
          <w:rFonts w:cs="Arial"/>
          <w:sz w:val="22"/>
          <w:szCs w:val="22"/>
        </w:rPr>
        <w:t xml:space="preserve"> leverages Drexel’s engagement in the Commonwealth’s </w:t>
      </w:r>
      <w:r w:rsidRPr="00154CB8">
        <w:rPr>
          <w:rFonts w:cs="Arial"/>
          <w:bCs/>
          <w:sz w:val="22"/>
          <w:szCs w:val="22"/>
        </w:rPr>
        <w:t>Energy Commercialization Institute (ECI)</w:t>
      </w:r>
      <w:r w:rsidRPr="00154CB8">
        <w:rPr>
          <w:rFonts w:cs="Arial"/>
          <w:sz w:val="22"/>
          <w:szCs w:val="22"/>
        </w:rPr>
        <w:t xml:space="preserve">, the first university-based energy commercialization partnership to support and promote the commercialization of energy technologies and systems.  Since 2011, the ECI has supported the development of more than 110 Intellectual Property assets, executed 12 technology licenses and leveraged $16.5 million </w:t>
      </w:r>
      <w:r>
        <w:rPr>
          <w:rFonts w:cs="Arial"/>
          <w:sz w:val="22"/>
          <w:szCs w:val="22"/>
        </w:rPr>
        <w:t>for</w:t>
      </w:r>
      <w:r w:rsidRPr="00154CB8">
        <w:rPr>
          <w:rFonts w:cs="Arial"/>
          <w:sz w:val="22"/>
          <w:szCs w:val="22"/>
        </w:rPr>
        <w:t xml:space="preserve"> the region.  </w:t>
      </w:r>
    </w:p>
    <w:sectPr w:rsidR="00FB2144" w:rsidRPr="00B57163" w:rsidSect="004A0CB2">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B4" w:rsidRDefault="001454B4" w:rsidP="003D3B0B">
      <w:r>
        <w:separator/>
      </w:r>
    </w:p>
  </w:endnote>
  <w:endnote w:type="continuationSeparator" w:id="0">
    <w:p w:rsidR="001454B4" w:rsidRDefault="001454B4" w:rsidP="003D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577767"/>
      <w:docPartObj>
        <w:docPartGallery w:val="Page Numbers (Bottom of Page)"/>
        <w:docPartUnique/>
      </w:docPartObj>
    </w:sdtPr>
    <w:sdtEndPr/>
    <w:sdtContent>
      <w:p w:rsidR="00186AFC" w:rsidRDefault="001454B4">
        <w:pPr>
          <w:pStyle w:val="Footer"/>
          <w:jc w:val="right"/>
        </w:pPr>
        <w:r>
          <w:fldChar w:fldCharType="begin"/>
        </w:r>
        <w:r>
          <w:instrText xml:space="preserve"> PAGE   \* MERGEFORMAT </w:instrText>
        </w:r>
        <w:r>
          <w:fldChar w:fldCharType="separate"/>
        </w:r>
        <w:r w:rsidR="0005567D">
          <w:rPr>
            <w:noProof/>
          </w:rPr>
          <w:t>1</w:t>
        </w:r>
        <w:r>
          <w:rPr>
            <w:noProof/>
          </w:rPr>
          <w:fldChar w:fldCharType="end"/>
        </w:r>
      </w:p>
    </w:sdtContent>
  </w:sdt>
  <w:p w:rsidR="00186AFC" w:rsidRDefault="00186A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B4" w:rsidRDefault="001454B4" w:rsidP="003D3B0B">
      <w:r>
        <w:separator/>
      </w:r>
    </w:p>
  </w:footnote>
  <w:footnote w:type="continuationSeparator" w:id="0">
    <w:p w:rsidR="001454B4" w:rsidRDefault="001454B4" w:rsidP="003D3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FC" w:rsidRDefault="00C206D3">
    <w:pPr>
      <w:pStyle w:val="Header"/>
    </w:pPr>
    <w:r>
      <w:t>DRAFT</w:t>
    </w:r>
    <w:r>
      <w:ptab w:relativeTo="margin" w:alignment="center" w:leader="none"/>
    </w:r>
    <w:r>
      <w:t>DRAFT</w:t>
    </w:r>
    <w:r>
      <w:ptab w:relativeTo="margin" w:alignment="right" w:leader="none"/>
    </w: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D8D162"/>
    <w:lvl w:ilvl="0">
      <w:numFmt w:val="bullet"/>
      <w:lvlText w:val="*"/>
      <w:lvlJc w:val="left"/>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E614E9"/>
    <w:multiLevelType w:val="hybridMultilevel"/>
    <w:tmpl w:val="DC88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8A610B"/>
    <w:multiLevelType w:val="hybridMultilevel"/>
    <w:tmpl w:val="CD8271CA"/>
    <w:lvl w:ilvl="0" w:tplc="8B9668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87C3DA2"/>
    <w:multiLevelType w:val="hybridMultilevel"/>
    <w:tmpl w:val="A1941704"/>
    <w:lvl w:ilvl="0" w:tplc="22989794">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ACB4710"/>
    <w:multiLevelType w:val="hybridMultilevel"/>
    <w:tmpl w:val="4AC0FFC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CCF1D7D"/>
    <w:multiLevelType w:val="hybridMultilevel"/>
    <w:tmpl w:val="D39A5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E05139"/>
    <w:multiLevelType w:val="hybridMultilevel"/>
    <w:tmpl w:val="83026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814533"/>
    <w:multiLevelType w:val="hybridMultilevel"/>
    <w:tmpl w:val="E1645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2F44A6"/>
    <w:multiLevelType w:val="hybridMultilevel"/>
    <w:tmpl w:val="A08A6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D9B6BE4"/>
    <w:multiLevelType w:val="hybridMultilevel"/>
    <w:tmpl w:val="18DAE2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E76F89"/>
    <w:multiLevelType w:val="hybridMultilevel"/>
    <w:tmpl w:val="4F5AB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75A19"/>
    <w:multiLevelType w:val="hybridMultilevel"/>
    <w:tmpl w:val="74DEE470"/>
    <w:lvl w:ilvl="0" w:tplc="49C21BF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618210F"/>
    <w:multiLevelType w:val="hybridMultilevel"/>
    <w:tmpl w:val="FBBE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611D5E"/>
    <w:multiLevelType w:val="hybridMultilevel"/>
    <w:tmpl w:val="B8C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9A0169"/>
    <w:multiLevelType w:val="hybridMultilevel"/>
    <w:tmpl w:val="9364EE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nsid w:val="29753875"/>
    <w:multiLevelType w:val="hybridMultilevel"/>
    <w:tmpl w:val="64FA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BA1053"/>
    <w:multiLevelType w:val="hybridMultilevel"/>
    <w:tmpl w:val="A3CA0788"/>
    <w:lvl w:ilvl="0" w:tplc="E190ECF2">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7B421F"/>
    <w:multiLevelType w:val="hybridMultilevel"/>
    <w:tmpl w:val="11E6E7EA"/>
    <w:lvl w:ilvl="0" w:tplc="A484E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4E02DDA"/>
    <w:multiLevelType w:val="hybridMultilevel"/>
    <w:tmpl w:val="6F625C6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39332687"/>
    <w:multiLevelType w:val="hybridMultilevel"/>
    <w:tmpl w:val="4296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AB15C83"/>
    <w:multiLevelType w:val="hybridMultilevel"/>
    <w:tmpl w:val="9312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A26EA1"/>
    <w:multiLevelType w:val="hybridMultilevel"/>
    <w:tmpl w:val="1D0E2D44"/>
    <w:lvl w:ilvl="0" w:tplc="7574410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69274F"/>
    <w:multiLevelType w:val="hybridMultilevel"/>
    <w:tmpl w:val="586C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1E5218"/>
    <w:multiLevelType w:val="hybridMultilevel"/>
    <w:tmpl w:val="41B63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1E77978"/>
    <w:multiLevelType w:val="multilevel"/>
    <w:tmpl w:val="4B684C0E"/>
    <w:lvl w:ilvl="0">
      <w:start w:val="1"/>
      <w:numFmt w:val="bullet"/>
      <w:pStyle w:val="Bullet2pt"/>
      <w:lvlText w:val=""/>
      <w:lvlJc w:val="left"/>
      <w:pPr>
        <w:tabs>
          <w:tab w:val="decimal" w:pos="432"/>
        </w:tabs>
        <w:ind w:left="720"/>
      </w:pPr>
      <w:rPr>
        <w:rFonts w:ascii="Symbol" w:hAnsi="Symbol"/>
        <w:strike w:val="0"/>
        <w:color w:val="000000"/>
        <w:spacing w:val="-5"/>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125017"/>
    <w:multiLevelType w:val="hybridMultilevel"/>
    <w:tmpl w:val="2AD0D5C8"/>
    <w:lvl w:ilvl="0" w:tplc="A4329E86">
      <w:start w:val="1"/>
      <w:numFmt w:val="upperLetter"/>
      <w:lvlText w:val="%1."/>
      <w:lvlJc w:val="left"/>
      <w:pPr>
        <w:ind w:left="360" w:hanging="360"/>
      </w:pPr>
      <w:rPr>
        <w:rFonts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0050A2"/>
    <w:multiLevelType w:val="hybridMultilevel"/>
    <w:tmpl w:val="81A2BC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3302742"/>
    <w:multiLevelType w:val="hybridMultilevel"/>
    <w:tmpl w:val="A104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9C3CC0"/>
    <w:multiLevelType w:val="hybridMultilevel"/>
    <w:tmpl w:val="AEC8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BF126C"/>
    <w:multiLevelType w:val="hybridMultilevel"/>
    <w:tmpl w:val="E3B6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D75B32"/>
    <w:multiLevelType w:val="hybridMultilevel"/>
    <w:tmpl w:val="9C7E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9910D2"/>
    <w:multiLevelType w:val="hybridMultilevel"/>
    <w:tmpl w:val="67302CA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C32B23"/>
    <w:multiLevelType w:val="hybridMultilevel"/>
    <w:tmpl w:val="38D6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BB2578"/>
    <w:multiLevelType w:val="hybridMultilevel"/>
    <w:tmpl w:val="4A6EC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7F0285"/>
    <w:multiLevelType w:val="hybridMultilevel"/>
    <w:tmpl w:val="F7F29EA2"/>
    <w:lvl w:ilvl="0" w:tplc="8D2EB3C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D9133FB"/>
    <w:multiLevelType w:val="hybridMultilevel"/>
    <w:tmpl w:val="6F8A9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744E37"/>
    <w:multiLevelType w:val="hybridMultilevel"/>
    <w:tmpl w:val="BE2C21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037B2A"/>
    <w:multiLevelType w:val="hybridMultilevel"/>
    <w:tmpl w:val="3C5C195C"/>
    <w:lvl w:ilvl="0" w:tplc="973C7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B632ED"/>
    <w:multiLevelType w:val="hybridMultilevel"/>
    <w:tmpl w:val="CC440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E416039"/>
    <w:multiLevelType w:val="hybridMultilevel"/>
    <w:tmpl w:val="4BAC65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4"/>
  </w:num>
  <w:num w:numId="3">
    <w:abstractNumId w:val="25"/>
  </w:num>
  <w:num w:numId="4">
    <w:abstractNumId w:val="19"/>
  </w:num>
  <w:num w:numId="5">
    <w:abstractNumId w:val="36"/>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0"/>
  </w:num>
  <w:num w:numId="8">
    <w:abstractNumId w:val="37"/>
  </w:num>
  <w:num w:numId="9">
    <w:abstractNumId w:val="31"/>
  </w:num>
  <w:num w:numId="10">
    <w:abstractNumId w:val="24"/>
  </w:num>
  <w:num w:numId="11">
    <w:abstractNumId w:val="22"/>
  </w:num>
  <w:num w:numId="12">
    <w:abstractNumId w:val="5"/>
  </w:num>
  <w:num w:numId="13">
    <w:abstractNumId w:val="32"/>
  </w:num>
  <w:num w:numId="14">
    <w:abstractNumId w:val="16"/>
  </w:num>
  <w:num w:numId="15">
    <w:abstractNumId w:val="39"/>
  </w:num>
  <w:num w:numId="16">
    <w:abstractNumId w:val="23"/>
  </w:num>
  <w:num w:numId="17">
    <w:abstractNumId w:val="15"/>
  </w:num>
  <w:num w:numId="18">
    <w:abstractNumId w:val="30"/>
  </w:num>
  <w:num w:numId="19">
    <w:abstractNumId w:val="1"/>
  </w:num>
  <w:num w:numId="20">
    <w:abstractNumId w:val="42"/>
  </w:num>
  <w:num w:numId="21">
    <w:abstractNumId w:val="27"/>
  </w:num>
  <w:num w:numId="22">
    <w:abstractNumId w:val="12"/>
  </w:num>
  <w:num w:numId="23">
    <w:abstractNumId w:val="9"/>
  </w:num>
  <w:num w:numId="24">
    <w:abstractNumId w:val="17"/>
  </w:num>
  <w:num w:numId="25">
    <w:abstractNumId w:val="33"/>
  </w:num>
  <w:num w:numId="26">
    <w:abstractNumId w:val="26"/>
  </w:num>
  <w:num w:numId="27">
    <w:abstractNumId w:val="2"/>
  </w:num>
  <w:num w:numId="28">
    <w:abstractNumId w:val="3"/>
  </w:num>
  <w:num w:numId="29">
    <w:abstractNumId w:val="4"/>
  </w:num>
  <w:num w:numId="30">
    <w:abstractNumId w:val="41"/>
  </w:num>
  <w:num w:numId="31">
    <w:abstractNumId w:val="11"/>
  </w:num>
  <w:num w:numId="32">
    <w:abstractNumId w:val="38"/>
  </w:num>
  <w:num w:numId="33">
    <w:abstractNumId w:val="43"/>
  </w:num>
  <w:num w:numId="34">
    <w:abstractNumId w:val="40"/>
  </w:num>
  <w:num w:numId="35">
    <w:abstractNumId w:val="8"/>
  </w:num>
  <w:num w:numId="36">
    <w:abstractNumId w:val="28"/>
  </w:num>
  <w:num w:numId="37">
    <w:abstractNumId w:val="6"/>
  </w:num>
  <w:num w:numId="38">
    <w:abstractNumId w:val="21"/>
  </w:num>
  <w:num w:numId="39">
    <w:abstractNumId w:val="29"/>
  </w:num>
  <w:num w:numId="40">
    <w:abstractNumId w:val="13"/>
  </w:num>
  <w:num w:numId="41">
    <w:abstractNumId w:val="7"/>
  </w:num>
  <w:num w:numId="42">
    <w:abstractNumId w:val="20"/>
  </w:num>
  <w:num w:numId="43">
    <w:abstractNumId w:val="35"/>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AB3"/>
    <w:rsid w:val="00040D0A"/>
    <w:rsid w:val="000434CA"/>
    <w:rsid w:val="00050DD9"/>
    <w:rsid w:val="00054882"/>
    <w:rsid w:val="000553D0"/>
    <w:rsid w:val="0005567D"/>
    <w:rsid w:val="00060215"/>
    <w:rsid w:val="00064613"/>
    <w:rsid w:val="0009064D"/>
    <w:rsid w:val="00092F39"/>
    <w:rsid w:val="00097E70"/>
    <w:rsid w:val="000A40FD"/>
    <w:rsid w:val="000B41AF"/>
    <w:rsid w:val="000C4405"/>
    <w:rsid w:val="000D0B1F"/>
    <w:rsid w:val="000D7BA8"/>
    <w:rsid w:val="000F0A4D"/>
    <w:rsid w:val="000F79A8"/>
    <w:rsid w:val="00105B34"/>
    <w:rsid w:val="001068BE"/>
    <w:rsid w:val="00114A14"/>
    <w:rsid w:val="001159EA"/>
    <w:rsid w:val="00126822"/>
    <w:rsid w:val="00144DB0"/>
    <w:rsid w:val="001454B4"/>
    <w:rsid w:val="001539C6"/>
    <w:rsid w:val="00154CB8"/>
    <w:rsid w:val="001552F9"/>
    <w:rsid w:val="00162F6A"/>
    <w:rsid w:val="0018356D"/>
    <w:rsid w:val="00186AFC"/>
    <w:rsid w:val="00187AA1"/>
    <w:rsid w:val="001B11BE"/>
    <w:rsid w:val="001B1E22"/>
    <w:rsid w:val="001C3012"/>
    <w:rsid w:val="001E0CCA"/>
    <w:rsid w:val="001E4814"/>
    <w:rsid w:val="001F433E"/>
    <w:rsid w:val="001F4484"/>
    <w:rsid w:val="001F4E89"/>
    <w:rsid w:val="001F6F39"/>
    <w:rsid w:val="0020051B"/>
    <w:rsid w:val="00205A9D"/>
    <w:rsid w:val="00207F25"/>
    <w:rsid w:val="00211795"/>
    <w:rsid w:val="002257E7"/>
    <w:rsid w:val="002305AB"/>
    <w:rsid w:val="00236F55"/>
    <w:rsid w:val="00245E6E"/>
    <w:rsid w:val="0026327D"/>
    <w:rsid w:val="00266224"/>
    <w:rsid w:val="00271273"/>
    <w:rsid w:val="0027530C"/>
    <w:rsid w:val="002826E5"/>
    <w:rsid w:val="002A2258"/>
    <w:rsid w:val="002A4915"/>
    <w:rsid w:val="002A7B45"/>
    <w:rsid w:val="002B7C2C"/>
    <w:rsid w:val="002C1DC1"/>
    <w:rsid w:val="002C47CE"/>
    <w:rsid w:val="002C5DC2"/>
    <w:rsid w:val="002C7BCB"/>
    <w:rsid w:val="002D003B"/>
    <w:rsid w:val="002D018F"/>
    <w:rsid w:val="002D11BA"/>
    <w:rsid w:val="002F5815"/>
    <w:rsid w:val="003243CD"/>
    <w:rsid w:val="00326AFF"/>
    <w:rsid w:val="00342850"/>
    <w:rsid w:val="00343A6E"/>
    <w:rsid w:val="00345E2D"/>
    <w:rsid w:val="0035610D"/>
    <w:rsid w:val="0037162D"/>
    <w:rsid w:val="003927D5"/>
    <w:rsid w:val="003A79AF"/>
    <w:rsid w:val="003A7F75"/>
    <w:rsid w:val="003B0F98"/>
    <w:rsid w:val="003C2F51"/>
    <w:rsid w:val="003C5A08"/>
    <w:rsid w:val="003D3B0B"/>
    <w:rsid w:val="003F5C44"/>
    <w:rsid w:val="00405D47"/>
    <w:rsid w:val="00413B1E"/>
    <w:rsid w:val="004169B5"/>
    <w:rsid w:val="00436BFD"/>
    <w:rsid w:val="004413F8"/>
    <w:rsid w:val="00445E8D"/>
    <w:rsid w:val="00446B2A"/>
    <w:rsid w:val="00450A12"/>
    <w:rsid w:val="004561B3"/>
    <w:rsid w:val="00467982"/>
    <w:rsid w:val="00486CEB"/>
    <w:rsid w:val="00494B28"/>
    <w:rsid w:val="004A0CB2"/>
    <w:rsid w:val="004D234D"/>
    <w:rsid w:val="004D34EB"/>
    <w:rsid w:val="004D3E53"/>
    <w:rsid w:val="004D5626"/>
    <w:rsid w:val="00500406"/>
    <w:rsid w:val="00501538"/>
    <w:rsid w:val="00506EFC"/>
    <w:rsid w:val="005108BA"/>
    <w:rsid w:val="00530DBB"/>
    <w:rsid w:val="00545C79"/>
    <w:rsid w:val="00545F12"/>
    <w:rsid w:val="005602CC"/>
    <w:rsid w:val="00566545"/>
    <w:rsid w:val="0057342C"/>
    <w:rsid w:val="00582421"/>
    <w:rsid w:val="00584B11"/>
    <w:rsid w:val="00587150"/>
    <w:rsid w:val="005A0899"/>
    <w:rsid w:val="005A26DF"/>
    <w:rsid w:val="005B3AA7"/>
    <w:rsid w:val="005B3C9D"/>
    <w:rsid w:val="005C57DC"/>
    <w:rsid w:val="005D47D4"/>
    <w:rsid w:val="005D5197"/>
    <w:rsid w:val="005E2215"/>
    <w:rsid w:val="005E4400"/>
    <w:rsid w:val="00601E4B"/>
    <w:rsid w:val="00603691"/>
    <w:rsid w:val="006043C2"/>
    <w:rsid w:val="00605DF8"/>
    <w:rsid w:val="006150C9"/>
    <w:rsid w:val="00616024"/>
    <w:rsid w:val="00620D1F"/>
    <w:rsid w:val="00625E70"/>
    <w:rsid w:val="00634BB6"/>
    <w:rsid w:val="00637CE2"/>
    <w:rsid w:val="00644CF6"/>
    <w:rsid w:val="00662ECC"/>
    <w:rsid w:val="00663901"/>
    <w:rsid w:val="00667BE5"/>
    <w:rsid w:val="0067352F"/>
    <w:rsid w:val="00674648"/>
    <w:rsid w:val="006771A4"/>
    <w:rsid w:val="00684377"/>
    <w:rsid w:val="00686D87"/>
    <w:rsid w:val="00690F55"/>
    <w:rsid w:val="006A0C8C"/>
    <w:rsid w:val="006B476F"/>
    <w:rsid w:val="006C002B"/>
    <w:rsid w:val="006C4BDB"/>
    <w:rsid w:val="006E37E3"/>
    <w:rsid w:val="006E6351"/>
    <w:rsid w:val="006F3CD9"/>
    <w:rsid w:val="006F613A"/>
    <w:rsid w:val="006F787D"/>
    <w:rsid w:val="00702898"/>
    <w:rsid w:val="00704693"/>
    <w:rsid w:val="0071155B"/>
    <w:rsid w:val="00713AE1"/>
    <w:rsid w:val="00724344"/>
    <w:rsid w:val="00732FB3"/>
    <w:rsid w:val="00733B1B"/>
    <w:rsid w:val="007560BE"/>
    <w:rsid w:val="00760665"/>
    <w:rsid w:val="0076720F"/>
    <w:rsid w:val="00775A18"/>
    <w:rsid w:val="00795A68"/>
    <w:rsid w:val="00795F76"/>
    <w:rsid w:val="007A6F96"/>
    <w:rsid w:val="007B1700"/>
    <w:rsid w:val="007B4492"/>
    <w:rsid w:val="007D13F5"/>
    <w:rsid w:val="007D75CB"/>
    <w:rsid w:val="007E0F02"/>
    <w:rsid w:val="007E3B3C"/>
    <w:rsid w:val="007F11DE"/>
    <w:rsid w:val="007F729D"/>
    <w:rsid w:val="00805DFF"/>
    <w:rsid w:val="00815227"/>
    <w:rsid w:val="00815A8C"/>
    <w:rsid w:val="0081789E"/>
    <w:rsid w:val="008223A4"/>
    <w:rsid w:val="0082360E"/>
    <w:rsid w:val="00832BB5"/>
    <w:rsid w:val="008368D0"/>
    <w:rsid w:val="0085001A"/>
    <w:rsid w:val="008509B6"/>
    <w:rsid w:val="00880E24"/>
    <w:rsid w:val="0089286E"/>
    <w:rsid w:val="008A2432"/>
    <w:rsid w:val="008A4372"/>
    <w:rsid w:val="008C34DD"/>
    <w:rsid w:val="008C5630"/>
    <w:rsid w:val="008D0E69"/>
    <w:rsid w:val="008D2447"/>
    <w:rsid w:val="00901082"/>
    <w:rsid w:val="00904B41"/>
    <w:rsid w:val="00932824"/>
    <w:rsid w:val="00945511"/>
    <w:rsid w:val="00953692"/>
    <w:rsid w:val="0095483D"/>
    <w:rsid w:val="00960166"/>
    <w:rsid w:val="009843C8"/>
    <w:rsid w:val="00987D1C"/>
    <w:rsid w:val="00993913"/>
    <w:rsid w:val="009944D2"/>
    <w:rsid w:val="009A2A3C"/>
    <w:rsid w:val="009D0A8B"/>
    <w:rsid w:val="009D36CE"/>
    <w:rsid w:val="009D7A8A"/>
    <w:rsid w:val="009D7F0E"/>
    <w:rsid w:val="009F4EC4"/>
    <w:rsid w:val="009F7780"/>
    <w:rsid w:val="00A07B28"/>
    <w:rsid w:val="00A1033F"/>
    <w:rsid w:val="00A10F68"/>
    <w:rsid w:val="00A1752B"/>
    <w:rsid w:val="00A17FFD"/>
    <w:rsid w:val="00A359FC"/>
    <w:rsid w:val="00A42E20"/>
    <w:rsid w:val="00A44023"/>
    <w:rsid w:val="00A46089"/>
    <w:rsid w:val="00A46A3F"/>
    <w:rsid w:val="00A5083B"/>
    <w:rsid w:val="00A52E26"/>
    <w:rsid w:val="00A61667"/>
    <w:rsid w:val="00A7066F"/>
    <w:rsid w:val="00A7388F"/>
    <w:rsid w:val="00A84220"/>
    <w:rsid w:val="00A84593"/>
    <w:rsid w:val="00A905E5"/>
    <w:rsid w:val="00A93EB2"/>
    <w:rsid w:val="00AA0AA0"/>
    <w:rsid w:val="00AB479B"/>
    <w:rsid w:val="00AC495A"/>
    <w:rsid w:val="00AE171B"/>
    <w:rsid w:val="00AE3C81"/>
    <w:rsid w:val="00AF1F91"/>
    <w:rsid w:val="00AF7243"/>
    <w:rsid w:val="00B02637"/>
    <w:rsid w:val="00B15C23"/>
    <w:rsid w:val="00B308E7"/>
    <w:rsid w:val="00B36A78"/>
    <w:rsid w:val="00B50B38"/>
    <w:rsid w:val="00B54584"/>
    <w:rsid w:val="00B55FD0"/>
    <w:rsid w:val="00B5604C"/>
    <w:rsid w:val="00B57163"/>
    <w:rsid w:val="00B57625"/>
    <w:rsid w:val="00B63356"/>
    <w:rsid w:val="00B720DB"/>
    <w:rsid w:val="00B74201"/>
    <w:rsid w:val="00B80DF8"/>
    <w:rsid w:val="00B86199"/>
    <w:rsid w:val="00B875AB"/>
    <w:rsid w:val="00B91F4C"/>
    <w:rsid w:val="00BA49EA"/>
    <w:rsid w:val="00BC31BB"/>
    <w:rsid w:val="00BD54B8"/>
    <w:rsid w:val="00BD5A12"/>
    <w:rsid w:val="00BE0CE1"/>
    <w:rsid w:val="00BE5879"/>
    <w:rsid w:val="00BE7422"/>
    <w:rsid w:val="00BF2D2F"/>
    <w:rsid w:val="00BF660A"/>
    <w:rsid w:val="00C01208"/>
    <w:rsid w:val="00C206D3"/>
    <w:rsid w:val="00C233AB"/>
    <w:rsid w:val="00C25160"/>
    <w:rsid w:val="00C32842"/>
    <w:rsid w:val="00C52816"/>
    <w:rsid w:val="00C61099"/>
    <w:rsid w:val="00C63E13"/>
    <w:rsid w:val="00C74A69"/>
    <w:rsid w:val="00C82C6C"/>
    <w:rsid w:val="00C8787F"/>
    <w:rsid w:val="00CA548B"/>
    <w:rsid w:val="00CB7504"/>
    <w:rsid w:val="00CC3131"/>
    <w:rsid w:val="00CC4325"/>
    <w:rsid w:val="00CE4458"/>
    <w:rsid w:val="00CE642C"/>
    <w:rsid w:val="00CF1B3F"/>
    <w:rsid w:val="00D14F0F"/>
    <w:rsid w:val="00D1502B"/>
    <w:rsid w:val="00D21ACF"/>
    <w:rsid w:val="00D30608"/>
    <w:rsid w:val="00D54FFE"/>
    <w:rsid w:val="00D63DC5"/>
    <w:rsid w:val="00D73881"/>
    <w:rsid w:val="00D75E22"/>
    <w:rsid w:val="00D8501A"/>
    <w:rsid w:val="00D87332"/>
    <w:rsid w:val="00DA0491"/>
    <w:rsid w:val="00DA62AE"/>
    <w:rsid w:val="00DC0EF6"/>
    <w:rsid w:val="00DC5235"/>
    <w:rsid w:val="00DD1284"/>
    <w:rsid w:val="00DD218B"/>
    <w:rsid w:val="00DE53C1"/>
    <w:rsid w:val="00DE6E6C"/>
    <w:rsid w:val="00E00564"/>
    <w:rsid w:val="00E13B43"/>
    <w:rsid w:val="00E24AB3"/>
    <w:rsid w:val="00E25747"/>
    <w:rsid w:val="00E27775"/>
    <w:rsid w:val="00E43A4D"/>
    <w:rsid w:val="00E53D59"/>
    <w:rsid w:val="00E5515A"/>
    <w:rsid w:val="00E5615F"/>
    <w:rsid w:val="00E64686"/>
    <w:rsid w:val="00E73E0B"/>
    <w:rsid w:val="00E821DA"/>
    <w:rsid w:val="00E87EC3"/>
    <w:rsid w:val="00EA24C0"/>
    <w:rsid w:val="00EA6EA8"/>
    <w:rsid w:val="00EB7B4B"/>
    <w:rsid w:val="00EC7AC4"/>
    <w:rsid w:val="00EE2FAE"/>
    <w:rsid w:val="00EE3399"/>
    <w:rsid w:val="00EF2871"/>
    <w:rsid w:val="00EF4384"/>
    <w:rsid w:val="00EF6584"/>
    <w:rsid w:val="00F23EF9"/>
    <w:rsid w:val="00F27808"/>
    <w:rsid w:val="00F34316"/>
    <w:rsid w:val="00F36D39"/>
    <w:rsid w:val="00F41917"/>
    <w:rsid w:val="00F6431C"/>
    <w:rsid w:val="00F65F6B"/>
    <w:rsid w:val="00F751B5"/>
    <w:rsid w:val="00F76015"/>
    <w:rsid w:val="00F85763"/>
    <w:rsid w:val="00F86D00"/>
    <w:rsid w:val="00F947E2"/>
    <w:rsid w:val="00FA750C"/>
    <w:rsid w:val="00FB2144"/>
    <w:rsid w:val="00FC57C1"/>
    <w:rsid w:val="00FD4C3B"/>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FD"/>
  </w:style>
  <w:style w:type="paragraph" w:styleId="Heading2">
    <w:name w:val="heading 2"/>
    <w:basedOn w:val="Normal"/>
    <w:next w:val="Normal"/>
    <w:link w:val="Heading2Char"/>
    <w:uiPriority w:val="9"/>
    <w:unhideWhenUsed/>
    <w:qFormat/>
    <w:rsid w:val="00CF1B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4E89"/>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30608"/>
    <w:rPr>
      <w:rFonts w:ascii="Times New Roman" w:eastAsia="Times New Roman" w:hAnsi="Times New Roman" w:cs="Times New Roman"/>
      <w:color w:val="000000"/>
      <w:lang w:eastAsia="ja-JP"/>
    </w:rPr>
  </w:style>
  <w:style w:type="character" w:styleId="CommentReference">
    <w:name w:val="annotation reference"/>
    <w:basedOn w:val="DefaultParagraphFont"/>
    <w:uiPriority w:val="99"/>
    <w:semiHidden/>
    <w:unhideWhenUsed/>
    <w:rsid w:val="00B15C23"/>
    <w:rPr>
      <w:sz w:val="18"/>
      <w:szCs w:val="18"/>
    </w:rPr>
  </w:style>
  <w:style w:type="paragraph" w:styleId="CommentText">
    <w:name w:val="annotation text"/>
    <w:basedOn w:val="Normal"/>
    <w:link w:val="CommentTextChar"/>
    <w:uiPriority w:val="99"/>
    <w:unhideWhenUsed/>
    <w:rsid w:val="00A52E26"/>
    <w:rPr>
      <w:sz w:val="22"/>
      <w:szCs w:val="22"/>
    </w:rPr>
  </w:style>
  <w:style w:type="character" w:customStyle="1" w:styleId="CommentTextChar">
    <w:name w:val="Comment Text Char"/>
    <w:basedOn w:val="DefaultParagraphFont"/>
    <w:link w:val="CommentText"/>
    <w:uiPriority w:val="99"/>
    <w:rsid w:val="00A52E26"/>
    <w:rPr>
      <w:sz w:val="22"/>
      <w:szCs w:val="22"/>
    </w:rPr>
  </w:style>
  <w:style w:type="paragraph" w:styleId="CommentSubject">
    <w:name w:val="annotation subject"/>
    <w:basedOn w:val="CommentText"/>
    <w:next w:val="CommentText"/>
    <w:link w:val="CommentSubjectChar"/>
    <w:uiPriority w:val="99"/>
    <w:semiHidden/>
    <w:unhideWhenUsed/>
    <w:rsid w:val="00B15C23"/>
    <w:rPr>
      <w:b/>
      <w:bCs/>
      <w:sz w:val="20"/>
      <w:szCs w:val="20"/>
    </w:rPr>
  </w:style>
  <w:style w:type="character" w:customStyle="1" w:styleId="CommentSubjectChar">
    <w:name w:val="Comment Subject Char"/>
    <w:basedOn w:val="CommentTextChar"/>
    <w:link w:val="CommentSubject"/>
    <w:uiPriority w:val="99"/>
    <w:semiHidden/>
    <w:rsid w:val="00B15C23"/>
    <w:rPr>
      <w:b/>
      <w:bCs/>
      <w:sz w:val="20"/>
      <w:szCs w:val="20"/>
    </w:rPr>
  </w:style>
  <w:style w:type="paragraph" w:styleId="BalloonText">
    <w:name w:val="Balloon Text"/>
    <w:basedOn w:val="Normal"/>
    <w:link w:val="BalloonTextChar"/>
    <w:uiPriority w:val="99"/>
    <w:semiHidden/>
    <w:unhideWhenUsed/>
    <w:rsid w:val="00B15C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5C23"/>
    <w:rPr>
      <w:rFonts w:ascii="Lucida Grande" w:hAnsi="Lucida Grande" w:cs="Lucida Grande"/>
      <w:sz w:val="18"/>
      <w:szCs w:val="18"/>
    </w:rPr>
  </w:style>
  <w:style w:type="paragraph" w:styleId="ListParagraph">
    <w:name w:val="List Paragraph"/>
    <w:basedOn w:val="Normal"/>
    <w:uiPriority w:val="34"/>
    <w:qFormat/>
    <w:rsid w:val="00105B34"/>
    <w:pPr>
      <w:ind w:left="720"/>
      <w:contextualSpacing/>
    </w:pPr>
  </w:style>
  <w:style w:type="paragraph" w:styleId="Header">
    <w:name w:val="header"/>
    <w:basedOn w:val="Normal"/>
    <w:link w:val="HeaderChar"/>
    <w:uiPriority w:val="99"/>
    <w:unhideWhenUsed/>
    <w:rsid w:val="003D3B0B"/>
    <w:pPr>
      <w:tabs>
        <w:tab w:val="center" w:pos="4320"/>
        <w:tab w:val="right" w:pos="8640"/>
      </w:tabs>
    </w:pPr>
  </w:style>
  <w:style w:type="character" w:customStyle="1" w:styleId="HeaderChar">
    <w:name w:val="Header Char"/>
    <w:basedOn w:val="DefaultParagraphFont"/>
    <w:link w:val="Header"/>
    <w:uiPriority w:val="99"/>
    <w:rsid w:val="003D3B0B"/>
  </w:style>
  <w:style w:type="paragraph" w:styleId="Footer">
    <w:name w:val="footer"/>
    <w:basedOn w:val="Normal"/>
    <w:link w:val="FooterChar"/>
    <w:uiPriority w:val="99"/>
    <w:unhideWhenUsed/>
    <w:rsid w:val="003D3B0B"/>
    <w:pPr>
      <w:tabs>
        <w:tab w:val="center" w:pos="4320"/>
        <w:tab w:val="right" w:pos="8640"/>
      </w:tabs>
    </w:pPr>
  </w:style>
  <w:style w:type="character" w:customStyle="1" w:styleId="FooterChar">
    <w:name w:val="Footer Char"/>
    <w:basedOn w:val="DefaultParagraphFont"/>
    <w:link w:val="Footer"/>
    <w:uiPriority w:val="99"/>
    <w:rsid w:val="003D3B0B"/>
  </w:style>
  <w:style w:type="paragraph" w:styleId="BodyText">
    <w:name w:val="Body Text"/>
    <w:basedOn w:val="Normal"/>
    <w:link w:val="BodyTextChar"/>
    <w:uiPriority w:val="99"/>
    <w:semiHidden/>
    <w:unhideWhenUsed/>
    <w:rsid w:val="00795F76"/>
    <w:pPr>
      <w:spacing w:after="120"/>
    </w:pPr>
    <w:rPr>
      <w:rFonts w:ascii="Times New Roman" w:eastAsia="Cambria" w:hAnsi="Times New Roman" w:cs="Times New Roman"/>
    </w:rPr>
  </w:style>
  <w:style w:type="character" w:customStyle="1" w:styleId="BodyTextChar">
    <w:name w:val="Body Text Char"/>
    <w:basedOn w:val="DefaultParagraphFont"/>
    <w:link w:val="BodyText"/>
    <w:uiPriority w:val="99"/>
    <w:semiHidden/>
    <w:rsid w:val="00795F76"/>
    <w:rPr>
      <w:rFonts w:ascii="Times New Roman" w:eastAsia="Cambria" w:hAnsi="Times New Roman" w:cs="Times New Roman"/>
    </w:rPr>
  </w:style>
  <w:style w:type="table" w:styleId="TableGrid">
    <w:name w:val="Table Grid"/>
    <w:basedOn w:val="TableNormal"/>
    <w:rsid w:val="00795F76"/>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545F12"/>
    <w:rPr>
      <w:lang w:eastAsia="ja-JP"/>
    </w:rPr>
  </w:style>
  <w:style w:type="character" w:customStyle="1" w:styleId="EndnoteTextChar">
    <w:name w:val="Endnote Text Char"/>
    <w:basedOn w:val="DefaultParagraphFont"/>
    <w:link w:val="EndnoteText"/>
    <w:uiPriority w:val="99"/>
    <w:rsid w:val="00545F12"/>
    <w:rPr>
      <w:lang w:eastAsia="ja-JP"/>
    </w:rPr>
  </w:style>
  <w:style w:type="character" w:styleId="EndnoteReference">
    <w:name w:val="endnote reference"/>
    <w:basedOn w:val="DefaultParagraphFont"/>
    <w:uiPriority w:val="99"/>
    <w:unhideWhenUsed/>
    <w:rsid w:val="00545F12"/>
    <w:rPr>
      <w:vertAlign w:val="superscript"/>
    </w:rPr>
  </w:style>
  <w:style w:type="character" w:styleId="Hyperlink">
    <w:name w:val="Hyperlink"/>
    <w:basedOn w:val="DefaultParagraphFont"/>
    <w:uiPriority w:val="99"/>
    <w:unhideWhenUsed/>
    <w:rsid w:val="00545F12"/>
    <w:rPr>
      <w:color w:val="0000FF"/>
      <w:u w:val="single"/>
    </w:rPr>
  </w:style>
  <w:style w:type="character" w:customStyle="1" w:styleId="apple-converted-space">
    <w:name w:val="apple-converted-space"/>
    <w:basedOn w:val="DefaultParagraphFont"/>
    <w:rsid w:val="00545F12"/>
  </w:style>
  <w:style w:type="character" w:customStyle="1" w:styleId="Heading3Char">
    <w:name w:val="Heading 3 Char"/>
    <w:basedOn w:val="DefaultParagraphFont"/>
    <w:link w:val="Heading3"/>
    <w:uiPriority w:val="9"/>
    <w:rsid w:val="001F4E89"/>
    <w:rPr>
      <w:rFonts w:asciiTheme="majorHAnsi" w:eastAsiaTheme="majorEastAsia" w:hAnsiTheme="majorHAnsi" w:cstheme="majorBidi"/>
      <w:b/>
      <w:bCs/>
      <w:color w:val="4F81BD" w:themeColor="accent1"/>
      <w:sz w:val="22"/>
      <w:szCs w:val="22"/>
    </w:rPr>
  </w:style>
  <w:style w:type="character" w:customStyle="1" w:styleId="Heading2Char">
    <w:name w:val="Heading 2 Char"/>
    <w:basedOn w:val="DefaultParagraphFont"/>
    <w:link w:val="Heading2"/>
    <w:uiPriority w:val="9"/>
    <w:rsid w:val="00CF1B3F"/>
    <w:rPr>
      <w:rFonts w:asciiTheme="majorHAnsi" w:eastAsiaTheme="majorEastAsia" w:hAnsiTheme="majorHAnsi" w:cstheme="majorBidi"/>
      <w:b/>
      <w:bCs/>
      <w:color w:val="4F81BD" w:themeColor="accent1"/>
      <w:sz w:val="26"/>
      <w:szCs w:val="26"/>
    </w:rPr>
  </w:style>
  <w:style w:type="paragraph" w:customStyle="1" w:styleId="Bullet2pt">
    <w:name w:val="Bullet 2pt"/>
    <w:basedOn w:val="Normal"/>
    <w:qFormat/>
    <w:rsid w:val="00CF1B3F"/>
    <w:pPr>
      <w:numPr>
        <w:numId w:val="36"/>
      </w:numPr>
      <w:spacing w:after="40"/>
      <w:ind w:left="360" w:hanging="360"/>
    </w:pPr>
    <w:rPr>
      <w:rFonts w:ascii="Times New Roman" w:eastAsiaTheme="minorHAnsi" w:hAnsi="Times New Roman"/>
      <w:color w:val="000000"/>
    </w:rPr>
  </w:style>
  <w:style w:type="paragraph" w:customStyle="1" w:styleId="BodyText2pt">
    <w:name w:val="Body Text 2pt"/>
    <w:basedOn w:val="BodyText"/>
    <w:qFormat/>
    <w:rsid w:val="00CF1B3F"/>
    <w:pPr>
      <w:spacing w:after="40"/>
      <w:ind w:firstLine="36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FD"/>
  </w:style>
  <w:style w:type="paragraph" w:styleId="Heading2">
    <w:name w:val="heading 2"/>
    <w:basedOn w:val="Normal"/>
    <w:next w:val="Normal"/>
    <w:link w:val="Heading2Char"/>
    <w:uiPriority w:val="9"/>
    <w:unhideWhenUsed/>
    <w:qFormat/>
    <w:rsid w:val="00CF1B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4E89"/>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30608"/>
    <w:rPr>
      <w:rFonts w:ascii="Times New Roman" w:eastAsia="Times New Roman" w:hAnsi="Times New Roman" w:cs="Times New Roman"/>
      <w:color w:val="000000"/>
      <w:lang w:eastAsia="ja-JP"/>
    </w:rPr>
  </w:style>
  <w:style w:type="character" w:styleId="CommentReference">
    <w:name w:val="annotation reference"/>
    <w:basedOn w:val="DefaultParagraphFont"/>
    <w:uiPriority w:val="99"/>
    <w:semiHidden/>
    <w:unhideWhenUsed/>
    <w:rsid w:val="00B15C23"/>
    <w:rPr>
      <w:sz w:val="18"/>
      <w:szCs w:val="18"/>
    </w:rPr>
  </w:style>
  <w:style w:type="paragraph" w:styleId="CommentText">
    <w:name w:val="annotation text"/>
    <w:basedOn w:val="Normal"/>
    <w:link w:val="CommentTextChar"/>
    <w:uiPriority w:val="99"/>
    <w:unhideWhenUsed/>
    <w:rsid w:val="00A52E26"/>
    <w:rPr>
      <w:sz w:val="22"/>
      <w:szCs w:val="22"/>
    </w:rPr>
  </w:style>
  <w:style w:type="character" w:customStyle="1" w:styleId="CommentTextChar">
    <w:name w:val="Comment Text Char"/>
    <w:basedOn w:val="DefaultParagraphFont"/>
    <w:link w:val="CommentText"/>
    <w:uiPriority w:val="99"/>
    <w:rsid w:val="00A52E26"/>
    <w:rPr>
      <w:sz w:val="22"/>
      <w:szCs w:val="22"/>
    </w:rPr>
  </w:style>
  <w:style w:type="paragraph" w:styleId="CommentSubject">
    <w:name w:val="annotation subject"/>
    <w:basedOn w:val="CommentText"/>
    <w:next w:val="CommentText"/>
    <w:link w:val="CommentSubjectChar"/>
    <w:uiPriority w:val="99"/>
    <w:semiHidden/>
    <w:unhideWhenUsed/>
    <w:rsid w:val="00B15C23"/>
    <w:rPr>
      <w:b/>
      <w:bCs/>
      <w:sz w:val="20"/>
      <w:szCs w:val="20"/>
    </w:rPr>
  </w:style>
  <w:style w:type="character" w:customStyle="1" w:styleId="CommentSubjectChar">
    <w:name w:val="Comment Subject Char"/>
    <w:basedOn w:val="CommentTextChar"/>
    <w:link w:val="CommentSubject"/>
    <w:uiPriority w:val="99"/>
    <w:semiHidden/>
    <w:rsid w:val="00B15C23"/>
    <w:rPr>
      <w:b/>
      <w:bCs/>
      <w:sz w:val="20"/>
      <w:szCs w:val="20"/>
    </w:rPr>
  </w:style>
  <w:style w:type="paragraph" w:styleId="BalloonText">
    <w:name w:val="Balloon Text"/>
    <w:basedOn w:val="Normal"/>
    <w:link w:val="BalloonTextChar"/>
    <w:uiPriority w:val="99"/>
    <w:semiHidden/>
    <w:unhideWhenUsed/>
    <w:rsid w:val="00B15C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5C23"/>
    <w:rPr>
      <w:rFonts w:ascii="Lucida Grande" w:hAnsi="Lucida Grande" w:cs="Lucida Grande"/>
      <w:sz w:val="18"/>
      <w:szCs w:val="18"/>
    </w:rPr>
  </w:style>
  <w:style w:type="paragraph" w:styleId="ListParagraph">
    <w:name w:val="List Paragraph"/>
    <w:basedOn w:val="Normal"/>
    <w:uiPriority w:val="34"/>
    <w:qFormat/>
    <w:rsid w:val="00105B34"/>
    <w:pPr>
      <w:ind w:left="720"/>
      <w:contextualSpacing/>
    </w:pPr>
  </w:style>
  <w:style w:type="paragraph" w:styleId="Header">
    <w:name w:val="header"/>
    <w:basedOn w:val="Normal"/>
    <w:link w:val="HeaderChar"/>
    <w:uiPriority w:val="99"/>
    <w:unhideWhenUsed/>
    <w:rsid w:val="003D3B0B"/>
    <w:pPr>
      <w:tabs>
        <w:tab w:val="center" w:pos="4320"/>
        <w:tab w:val="right" w:pos="8640"/>
      </w:tabs>
    </w:pPr>
  </w:style>
  <w:style w:type="character" w:customStyle="1" w:styleId="HeaderChar">
    <w:name w:val="Header Char"/>
    <w:basedOn w:val="DefaultParagraphFont"/>
    <w:link w:val="Header"/>
    <w:uiPriority w:val="99"/>
    <w:rsid w:val="003D3B0B"/>
  </w:style>
  <w:style w:type="paragraph" w:styleId="Footer">
    <w:name w:val="footer"/>
    <w:basedOn w:val="Normal"/>
    <w:link w:val="FooterChar"/>
    <w:uiPriority w:val="99"/>
    <w:unhideWhenUsed/>
    <w:rsid w:val="003D3B0B"/>
    <w:pPr>
      <w:tabs>
        <w:tab w:val="center" w:pos="4320"/>
        <w:tab w:val="right" w:pos="8640"/>
      </w:tabs>
    </w:pPr>
  </w:style>
  <w:style w:type="character" w:customStyle="1" w:styleId="FooterChar">
    <w:name w:val="Footer Char"/>
    <w:basedOn w:val="DefaultParagraphFont"/>
    <w:link w:val="Footer"/>
    <w:uiPriority w:val="99"/>
    <w:rsid w:val="003D3B0B"/>
  </w:style>
  <w:style w:type="paragraph" w:styleId="BodyText">
    <w:name w:val="Body Text"/>
    <w:basedOn w:val="Normal"/>
    <w:link w:val="BodyTextChar"/>
    <w:uiPriority w:val="99"/>
    <w:semiHidden/>
    <w:unhideWhenUsed/>
    <w:rsid w:val="00795F76"/>
    <w:pPr>
      <w:spacing w:after="120"/>
    </w:pPr>
    <w:rPr>
      <w:rFonts w:ascii="Times New Roman" w:eastAsia="Cambria" w:hAnsi="Times New Roman" w:cs="Times New Roman"/>
    </w:rPr>
  </w:style>
  <w:style w:type="character" w:customStyle="1" w:styleId="BodyTextChar">
    <w:name w:val="Body Text Char"/>
    <w:basedOn w:val="DefaultParagraphFont"/>
    <w:link w:val="BodyText"/>
    <w:uiPriority w:val="99"/>
    <w:semiHidden/>
    <w:rsid w:val="00795F76"/>
    <w:rPr>
      <w:rFonts w:ascii="Times New Roman" w:eastAsia="Cambria" w:hAnsi="Times New Roman" w:cs="Times New Roman"/>
    </w:rPr>
  </w:style>
  <w:style w:type="table" w:styleId="TableGrid">
    <w:name w:val="Table Grid"/>
    <w:basedOn w:val="TableNormal"/>
    <w:rsid w:val="00795F76"/>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545F12"/>
    <w:rPr>
      <w:lang w:eastAsia="ja-JP"/>
    </w:rPr>
  </w:style>
  <w:style w:type="character" w:customStyle="1" w:styleId="EndnoteTextChar">
    <w:name w:val="Endnote Text Char"/>
    <w:basedOn w:val="DefaultParagraphFont"/>
    <w:link w:val="EndnoteText"/>
    <w:uiPriority w:val="99"/>
    <w:rsid w:val="00545F12"/>
    <w:rPr>
      <w:lang w:eastAsia="ja-JP"/>
    </w:rPr>
  </w:style>
  <w:style w:type="character" w:styleId="EndnoteReference">
    <w:name w:val="endnote reference"/>
    <w:basedOn w:val="DefaultParagraphFont"/>
    <w:uiPriority w:val="99"/>
    <w:unhideWhenUsed/>
    <w:rsid w:val="00545F12"/>
    <w:rPr>
      <w:vertAlign w:val="superscript"/>
    </w:rPr>
  </w:style>
  <w:style w:type="character" w:styleId="Hyperlink">
    <w:name w:val="Hyperlink"/>
    <w:basedOn w:val="DefaultParagraphFont"/>
    <w:uiPriority w:val="99"/>
    <w:unhideWhenUsed/>
    <w:rsid w:val="00545F12"/>
    <w:rPr>
      <w:color w:val="0000FF"/>
      <w:u w:val="single"/>
    </w:rPr>
  </w:style>
  <w:style w:type="character" w:customStyle="1" w:styleId="apple-converted-space">
    <w:name w:val="apple-converted-space"/>
    <w:basedOn w:val="DefaultParagraphFont"/>
    <w:rsid w:val="00545F12"/>
  </w:style>
  <w:style w:type="character" w:customStyle="1" w:styleId="Heading3Char">
    <w:name w:val="Heading 3 Char"/>
    <w:basedOn w:val="DefaultParagraphFont"/>
    <w:link w:val="Heading3"/>
    <w:uiPriority w:val="9"/>
    <w:rsid w:val="001F4E89"/>
    <w:rPr>
      <w:rFonts w:asciiTheme="majorHAnsi" w:eastAsiaTheme="majorEastAsia" w:hAnsiTheme="majorHAnsi" w:cstheme="majorBidi"/>
      <w:b/>
      <w:bCs/>
      <w:color w:val="4F81BD" w:themeColor="accent1"/>
      <w:sz w:val="22"/>
      <w:szCs w:val="22"/>
    </w:rPr>
  </w:style>
  <w:style w:type="character" w:customStyle="1" w:styleId="Heading2Char">
    <w:name w:val="Heading 2 Char"/>
    <w:basedOn w:val="DefaultParagraphFont"/>
    <w:link w:val="Heading2"/>
    <w:uiPriority w:val="9"/>
    <w:rsid w:val="00CF1B3F"/>
    <w:rPr>
      <w:rFonts w:asciiTheme="majorHAnsi" w:eastAsiaTheme="majorEastAsia" w:hAnsiTheme="majorHAnsi" w:cstheme="majorBidi"/>
      <w:b/>
      <w:bCs/>
      <w:color w:val="4F81BD" w:themeColor="accent1"/>
      <w:sz w:val="26"/>
      <w:szCs w:val="26"/>
    </w:rPr>
  </w:style>
  <w:style w:type="paragraph" w:customStyle="1" w:styleId="Bullet2pt">
    <w:name w:val="Bullet 2pt"/>
    <w:basedOn w:val="Normal"/>
    <w:qFormat/>
    <w:rsid w:val="00CF1B3F"/>
    <w:pPr>
      <w:numPr>
        <w:numId w:val="36"/>
      </w:numPr>
      <w:spacing w:after="40"/>
      <w:ind w:left="360" w:hanging="360"/>
    </w:pPr>
    <w:rPr>
      <w:rFonts w:ascii="Times New Roman" w:eastAsiaTheme="minorHAnsi" w:hAnsi="Times New Roman"/>
      <w:color w:val="000000"/>
    </w:rPr>
  </w:style>
  <w:style w:type="paragraph" w:customStyle="1" w:styleId="BodyText2pt">
    <w:name w:val="Body Text 2pt"/>
    <w:basedOn w:val="BodyText"/>
    <w:qFormat/>
    <w:rsid w:val="00CF1B3F"/>
    <w:pPr>
      <w:spacing w:after="40"/>
      <w:ind w:firstLine="36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23971">
      <w:bodyDiv w:val="1"/>
      <w:marLeft w:val="0"/>
      <w:marRight w:val="0"/>
      <w:marTop w:val="0"/>
      <w:marBottom w:val="0"/>
      <w:divBdr>
        <w:top w:val="none" w:sz="0" w:space="0" w:color="auto"/>
        <w:left w:val="none" w:sz="0" w:space="0" w:color="auto"/>
        <w:bottom w:val="none" w:sz="0" w:space="0" w:color="auto"/>
        <w:right w:val="none" w:sz="0" w:space="0" w:color="auto"/>
      </w:divBdr>
    </w:div>
    <w:div w:id="2050568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08C3C-91E3-4612-8901-3EE415D1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DeCarlo</dc:creator>
  <cp:lastModifiedBy>Kopach,Leda</cp:lastModifiedBy>
  <cp:revision>2</cp:revision>
  <cp:lastPrinted>2013-10-04T16:02:00Z</cp:lastPrinted>
  <dcterms:created xsi:type="dcterms:W3CDTF">2013-10-22T19:29:00Z</dcterms:created>
  <dcterms:modified xsi:type="dcterms:W3CDTF">2013-10-22T19:29:00Z</dcterms:modified>
</cp:coreProperties>
</file>